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138D3" w14:textId="209B3450" w:rsidR="00AD256B" w:rsidRPr="00350BBF" w:rsidRDefault="00905207" w:rsidP="00350BBF">
      <w:pPr>
        <w:keepNext/>
        <w:keepLines/>
        <w:pBdr>
          <w:bottom w:val="single" w:sz="4" w:space="1" w:color="auto"/>
        </w:pBdr>
        <w:spacing w:before="600" w:after="480" w:line="230" w:lineRule="auto"/>
        <w:outlineLvl w:val="0"/>
        <w:rPr>
          <w:rFonts w:ascii="Arial" w:eastAsiaTheme="majorEastAsia" w:hAnsi="Arial" w:cstheme="majorBidi"/>
          <w:b/>
          <w:bCs/>
          <w:color w:val="58595B"/>
          <w:sz w:val="38"/>
          <w:szCs w:val="28"/>
          <w:lang w:val="en-US"/>
        </w:rPr>
      </w:pPr>
      <w:proofErr w:type="spellStart"/>
      <w:r w:rsidRPr="00BE628A">
        <w:rPr>
          <w:rFonts w:ascii="Arial" w:hAnsi="Arial"/>
          <w:b/>
          <w:bCs/>
          <w:color w:val="58595B"/>
          <w:sz w:val="38"/>
          <w:szCs w:val="28"/>
          <w:lang w:val="en-US"/>
        </w:rPr>
        <w:t>Resumen</w:t>
      </w:r>
      <w:proofErr w:type="spellEnd"/>
      <w:r w:rsidRPr="00BE628A">
        <w:rPr>
          <w:rFonts w:ascii="Arial" w:hAnsi="Arial"/>
          <w:b/>
          <w:bCs/>
          <w:color w:val="58595B"/>
          <w:sz w:val="38"/>
          <w:szCs w:val="28"/>
          <w:lang w:val="en-US"/>
        </w:rPr>
        <w:t xml:space="preserve"> </w:t>
      </w:r>
      <w:proofErr w:type="spellStart"/>
      <w:r w:rsidRPr="00BE628A">
        <w:rPr>
          <w:rFonts w:ascii="Arial" w:hAnsi="Arial"/>
          <w:b/>
          <w:bCs/>
          <w:color w:val="58595B"/>
          <w:sz w:val="38"/>
          <w:szCs w:val="28"/>
          <w:lang w:val="en-US"/>
        </w:rPr>
        <w:t>ejecutivo</w:t>
      </w:r>
      <w:proofErr w:type="spellEnd"/>
    </w:p>
    <w:p w14:paraId="0D41DC6C" w14:textId="75EF1A2D" w:rsidR="00763CF2" w:rsidRPr="00763CF2" w:rsidRDefault="00763CF2" w:rsidP="00F939C3">
      <w:pPr>
        <w:spacing w:after="0" w:line="230" w:lineRule="auto"/>
        <w:rPr>
          <w:rFonts w:ascii="Arial" w:hAnsi="Arial"/>
          <w:sz w:val="20"/>
          <w:szCs w:val="24"/>
        </w:rPr>
      </w:pPr>
      <w:r>
        <w:rPr>
          <w:rFonts w:ascii="Arial" w:hAnsi="Arial"/>
          <w:sz w:val="20"/>
          <w:szCs w:val="24"/>
        </w:rPr>
        <w:t xml:space="preserve">La mitigación de amenazas es cualquier acción sostenida que reduzca o elimine los riesgos a largo plazo de las amenazas naturales y sus efectos para las personas y las propiedades. El impacto de los eventos naturales previstos pero impredecibles se puede reducir a través de la planificación holística y la implementación de esfuerzos de mitigación rentables y preventivos. </w:t>
      </w:r>
    </w:p>
    <w:p w14:paraId="32B1D7A1" w14:textId="77777777" w:rsidR="00763CF2" w:rsidRPr="00B81091" w:rsidRDefault="00763CF2" w:rsidP="00F939C3">
      <w:pPr>
        <w:spacing w:after="0" w:line="230" w:lineRule="auto"/>
        <w:rPr>
          <w:rFonts w:ascii="Arial" w:hAnsi="Arial"/>
          <w:sz w:val="16"/>
          <w:szCs w:val="16"/>
        </w:rPr>
      </w:pPr>
    </w:p>
    <w:p w14:paraId="6BA9FE66" w14:textId="504C7F9C" w:rsidR="00763CF2" w:rsidRPr="00763CF2" w:rsidRDefault="009A3AA3" w:rsidP="00F939C3">
      <w:pPr>
        <w:spacing w:after="0" w:line="230" w:lineRule="auto"/>
        <w:rPr>
          <w:rFonts w:ascii="Arial" w:hAnsi="Arial"/>
          <w:sz w:val="20"/>
          <w:szCs w:val="20"/>
        </w:rPr>
      </w:pPr>
      <w:r>
        <w:rPr>
          <w:rFonts w:ascii="Arial" w:hAnsi="Arial"/>
          <w:sz w:val="20"/>
          <w:szCs w:val="20"/>
        </w:rPr>
        <w:t>Los participantes en el Plan de Mitigación de Amenazas Naturales (</w:t>
      </w:r>
      <w:r>
        <w:rPr>
          <w:rFonts w:ascii="Arial" w:hAnsi="Arial"/>
          <w:i/>
          <w:iCs/>
          <w:sz w:val="20"/>
          <w:szCs w:val="20"/>
        </w:rPr>
        <w:t xml:space="preserve">Natural Hazard </w:t>
      </w:r>
      <w:proofErr w:type="spellStart"/>
      <w:r>
        <w:rPr>
          <w:rFonts w:ascii="Arial" w:hAnsi="Arial"/>
          <w:i/>
          <w:iCs/>
          <w:sz w:val="20"/>
          <w:szCs w:val="20"/>
        </w:rPr>
        <w:t>Mitigation</w:t>
      </w:r>
      <w:proofErr w:type="spellEnd"/>
      <w:r>
        <w:rPr>
          <w:rFonts w:ascii="Arial" w:hAnsi="Arial"/>
          <w:i/>
          <w:iCs/>
          <w:sz w:val="20"/>
          <w:szCs w:val="20"/>
        </w:rPr>
        <w:t xml:space="preserve"> Plan</w:t>
      </w:r>
      <w:r>
        <w:rPr>
          <w:rFonts w:ascii="Arial" w:hAnsi="Arial"/>
          <w:sz w:val="20"/>
          <w:szCs w:val="20"/>
        </w:rPr>
        <w:t>, NHMP) del condado de Washington entienden que no solo es menos costoso reducir la vulnerabilidad ante los desastres que reparar el daño reiteradamente, sino que se deben tomar medidas proactivas siempre que sea posible para proteger a la economía, el medioambiente y los ciudadanos vulnerables contra los eventos de amenazas naturales inevitables.</w:t>
      </w:r>
    </w:p>
    <w:p w14:paraId="739170C2" w14:textId="77777777" w:rsidR="00763CF2" w:rsidRPr="00B81091" w:rsidRDefault="00763CF2" w:rsidP="00F939C3">
      <w:pPr>
        <w:spacing w:after="0" w:line="230" w:lineRule="auto"/>
        <w:rPr>
          <w:rFonts w:ascii="Arial" w:hAnsi="Arial"/>
          <w:sz w:val="16"/>
          <w:szCs w:val="16"/>
        </w:rPr>
      </w:pPr>
    </w:p>
    <w:p w14:paraId="2D9FBD49" w14:textId="365807D2" w:rsidR="00763CF2" w:rsidRPr="00763CF2" w:rsidRDefault="00763CF2" w:rsidP="00F939C3">
      <w:pPr>
        <w:spacing w:after="0" w:line="230" w:lineRule="auto"/>
        <w:rPr>
          <w:rFonts w:ascii="Arial" w:hAnsi="Arial"/>
          <w:sz w:val="20"/>
          <w:szCs w:val="24"/>
        </w:rPr>
      </w:pPr>
      <w:r>
        <w:rPr>
          <w:rFonts w:ascii="Arial" w:hAnsi="Arial"/>
          <w:sz w:val="20"/>
          <w:szCs w:val="24"/>
        </w:rPr>
        <w:t xml:space="preserve">Este NHMP reconoce que las jurisdicciones locales y los distritos especiales tienen la oportunidad </w:t>
      </w:r>
      <w:r w:rsidR="008E48AD">
        <w:rPr>
          <w:rFonts w:ascii="Arial" w:hAnsi="Arial"/>
          <w:sz w:val="20"/>
          <w:szCs w:val="24"/>
        </w:rPr>
        <w:t xml:space="preserve">de </w:t>
      </w:r>
      <w:r>
        <w:rPr>
          <w:rFonts w:ascii="Arial" w:hAnsi="Arial"/>
          <w:sz w:val="20"/>
          <w:szCs w:val="24"/>
        </w:rPr>
        <w:t xml:space="preserve">resolver su vulnerabilidad de forma más integral identificando las estrategias de mitigación durante todas las etapas de la gestión de emergencias (preparación, mitigación, respuesta y recuperación). Aunque no se pueden eliminar las amenazas, se puede disminuir la vulnerabilidad ante las amenazas mediante la mejora del entendimiento de las amenazas naturales que afrontamos y sus posibles impactos y de la implementación de estrategias de mitigación. </w:t>
      </w:r>
    </w:p>
    <w:p w14:paraId="642D6844" w14:textId="77777777" w:rsidR="00763CF2" w:rsidRPr="00B81091" w:rsidRDefault="00763CF2" w:rsidP="00F939C3">
      <w:pPr>
        <w:spacing w:after="0" w:line="230" w:lineRule="auto"/>
        <w:rPr>
          <w:rFonts w:ascii="Arial" w:hAnsi="Arial"/>
          <w:sz w:val="16"/>
          <w:szCs w:val="16"/>
        </w:rPr>
      </w:pPr>
    </w:p>
    <w:p w14:paraId="3D05F53C" w14:textId="5290ECC4" w:rsidR="00763CF2" w:rsidRPr="00B81091" w:rsidRDefault="00763CF2" w:rsidP="00F939C3">
      <w:pPr>
        <w:spacing w:after="0" w:line="230" w:lineRule="auto"/>
        <w:rPr>
          <w:rFonts w:ascii="Arial" w:hAnsi="Arial"/>
          <w:spacing w:val="-2"/>
          <w:sz w:val="20"/>
          <w:szCs w:val="24"/>
        </w:rPr>
      </w:pPr>
      <w:r w:rsidRPr="00B81091">
        <w:rPr>
          <w:rFonts w:ascii="Arial" w:hAnsi="Arial"/>
          <w:spacing w:val="-2"/>
          <w:sz w:val="20"/>
          <w:szCs w:val="24"/>
        </w:rPr>
        <w:t>El NHMP 2023 presenta los impactos de las amenazas que más probabilidades tienen de afectar el condado de Washington, incluyendo sus ciudades y distritos especiales, y las estrategias de mitigación para reducir o eliminar las vulnerabilidades más importantes. Esta actualización del NHMP 2017 del condado de Washington agrega ocho nuevos participantes del plan y las amenazas de la falla de la represa y el calor extremo. También proporciona datos y análisis actualizados sobre las amenazas y los riesgos, estrategias de mitigación y detalles de implementación del plan. El plan brinda la dirección estratégica para mitigar las amenazas y proteger a las personas, la propiedad y el medioambiente y aumentar la resiliencia.</w:t>
      </w:r>
    </w:p>
    <w:p w14:paraId="289DD44B" w14:textId="77777777" w:rsidR="00763CF2" w:rsidRPr="00B81091" w:rsidRDefault="00763CF2" w:rsidP="00F939C3">
      <w:pPr>
        <w:spacing w:after="0" w:line="230" w:lineRule="auto"/>
        <w:rPr>
          <w:rFonts w:ascii="Arial" w:hAnsi="Arial" w:cs="Arial"/>
          <w:sz w:val="16"/>
          <w:szCs w:val="16"/>
        </w:rPr>
      </w:pPr>
    </w:p>
    <w:p w14:paraId="49E5FE63" w14:textId="3EA00B34" w:rsidR="00763CF2" w:rsidRPr="00F939C3" w:rsidRDefault="00763CF2" w:rsidP="00F939C3">
      <w:pPr>
        <w:spacing w:after="0" w:line="230" w:lineRule="auto"/>
        <w:rPr>
          <w:rFonts w:ascii="Arial" w:hAnsi="Arial" w:cs="Arial"/>
          <w:spacing w:val="-2"/>
          <w:sz w:val="20"/>
          <w:szCs w:val="20"/>
        </w:rPr>
      </w:pPr>
      <w:r w:rsidRPr="00F939C3">
        <w:rPr>
          <w:rFonts w:ascii="Arial" w:hAnsi="Arial"/>
          <w:spacing w:val="-2"/>
          <w:sz w:val="20"/>
          <w:szCs w:val="20"/>
        </w:rPr>
        <w:t>El plan cumple con los requisitos de la Ley Federal de Mitigación de Desastres (</w:t>
      </w:r>
      <w:r w:rsidRPr="00F939C3">
        <w:rPr>
          <w:rFonts w:ascii="Arial" w:hAnsi="Arial"/>
          <w:i/>
          <w:iCs/>
          <w:spacing w:val="-2"/>
          <w:sz w:val="20"/>
          <w:szCs w:val="20"/>
        </w:rPr>
        <w:t xml:space="preserve">Federal </w:t>
      </w:r>
      <w:proofErr w:type="spellStart"/>
      <w:r w:rsidRPr="00F939C3">
        <w:rPr>
          <w:rFonts w:ascii="Arial" w:hAnsi="Arial"/>
          <w:i/>
          <w:iCs/>
          <w:spacing w:val="-2"/>
          <w:sz w:val="20"/>
          <w:szCs w:val="20"/>
        </w:rPr>
        <w:t>Disaster</w:t>
      </w:r>
      <w:proofErr w:type="spellEnd"/>
      <w:r w:rsidRPr="00F939C3">
        <w:rPr>
          <w:rFonts w:ascii="Arial" w:hAnsi="Arial"/>
          <w:i/>
          <w:iCs/>
          <w:spacing w:val="-2"/>
          <w:sz w:val="20"/>
          <w:szCs w:val="20"/>
        </w:rPr>
        <w:t xml:space="preserve"> </w:t>
      </w:r>
      <w:proofErr w:type="spellStart"/>
      <w:r w:rsidRPr="00F939C3">
        <w:rPr>
          <w:rFonts w:ascii="Arial" w:hAnsi="Arial"/>
          <w:i/>
          <w:iCs/>
          <w:spacing w:val="-2"/>
          <w:sz w:val="20"/>
          <w:szCs w:val="20"/>
        </w:rPr>
        <w:t>Mitigation</w:t>
      </w:r>
      <w:proofErr w:type="spellEnd"/>
      <w:r w:rsidRPr="00F939C3">
        <w:rPr>
          <w:rFonts w:ascii="Arial" w:hAnsi="Arial"/>
          <w:i/>
          <w:iCs/>
          <w:spacing w:val="-2"/>
          <w:sz w:val="20"/>
          <w:szCs w:val="20"/>
        </w:rPr>
        <w:t xml:space="preserve"> </w:t>
      </w:r>
      <w:proofErr w:type="spellStart"/>
      <w:r w:rsidRPr="00F939C3">
        <w:rPr>
          <w:rFonts w:ascii="Arial" w:hAnsi="Arial"/>
          <w:i/>
          <w:iCs/>
          <w:spacing w:val="-2"/>
          <w:sz w:val="20"/>
          <w:szCs w:val="20"/>
        </w:rPr>
        <w:t>Act</w:t>
      </w:r>
      <w:proofErr w:type="spellEnd"/>
      <w:r w:rsidRPr="00F939C3">
        <w:rPr>
          <w:rFonts w:ascii="Arial" w:hAnsi="Arial"/>
          <w:spacing w:val="-2"/>
          <w:sz w:val="20"/>
          <w:szCs w:val="20"/>
        </w:rPr>
        <w:t xml:space="preserve">) de 2000 (DMA 2000), según lo administrado por el Departamento para el Manejo de Emergencias de </w:t>
      </w:r>
      <w:proofErr w:type="spellStart"/>
      <w:r w:rsidRPr="00F939C3">
        <w:rPr>
          <w:rFonts w:ascii="Arial" w:hAnsi="Arial"/>
          <w:spacing w:val="-2"/>
          <w:sz w:val="20"/>
          <w:szCs w:val="20"/>
        </w:rPr>
        <w:t>Oregon</w:t>
      </w:r>
      <w:proofErr w:type="spellEnd"/>
      <w:r w:rsidRPr="00F939C3">
        <w:rPr>
          <w:rFonts w:ascii="Arial" w:hAnsi="Arial"/>
          <w:spacing w:val="-2"/>
          <w:sz w:val="20"/>
          <w:szCs w:val="20"/>
        </w:rPr>
        <w:t xml:space="preserve"> (</w:t>
      </w:r>
      <w:proofErr w:type="spellStart"/>
      <w:r w:rsidRPr="00F939C3">
        <w:rPr>
          <w:rFonts w:ascii="Arial" w:hAnsi="Arial"/>
          <w:i/>
          <w:iCs/>
          <w:spacing w:val="-2"/>
          <w:sz w:val="20"/>
          <w:szCs w:val="20"/>
        </w:rPr>
        <w:t>Oregon</w:t>
      </w:r>
      <w:proofErr w:type="spellEnd"/>
      <w:r w:rsidRPr="00F939C3">
        <w:rPr>
          <w:rFonts w:ascii="Arial" w:hAnsi="Arial"/>
          <w:i/>
          <w:iCs/>
          <w:spacing w:val="-2"/>
          <w:sz w:val="20"/>
          <w:szCs w:val="20"/>
        </w:rPr>
        <w:t xml:space="preserve"> </w:t>
      </w:r>
      <w:proofErr w:type="spellStart"/>
      <w:r w:rsidRPr="00F939C3">
        <w:rPr>
          <w:rFonts w:ascii="Arial" w:hAnsi="Arial"/>
          <w:i/>
          <w:iCs/>
          <w:spacing w:val="-2"/>
          <w:sz w:val="20"/>
          <w:szCs w:val="20"/>
        </w:rPr>
        <w:t>Department</w:t>
      </w:r>
      <w:proofErr w:type="spellEnd"/>
      <w:r w:rsidRPr="00F939C3">
        <w:rPr>
          <w:rFonts w:ascii="Arial" w:hAnsi="Arial"/>
          <w:i/>
          <w:iCs/>
          <w:spacing w:val="-2"/>
          <w:sz w:val="20"/>
          <w:szCs w:val="20"/>
        </w:rPr>
        <w:t xml:space="preserve"> </w:t>
      </w:r>
      <w:proofErr w:type="spellStart"/>
      <w:r w:rsidRPr="00F939C3">
        <w:rPr>
          <w:rFonts w:ascii="Arial" w:hAnsi="Arial"/>
          <w:i/>
          <w:iCs/>
          <w:spacing w:val="-2"/>
          <w:sz w:val="20"/>
          <w:szCs w:val="20"/>
        </w:rPr>
        <w:t>of</w:t>
      </w:r>
      <w:proofErr w:type="spellEnd"/>
      <w:r w:rsidRPr="00F939C3">
        <w:rPr>
          <w:rFonts w:ascii="Arial" w:hAnsi="Arial"/>
          <w:i/>
          <w:iCs/>
          <w:spacing w:val="-2"/>
          <w:sz w:val="20"/>
          <w:szCs w:val="20"/>
        </w:rPr>
        <w:t xml:space="preserve"> Emergency Management</w:t>
      </w:r>
      <w:r w:rsidRPr="00F939C3">
        <w:rPr>
          <w:rFonts w:ascii="Arial" w:hAnsi="Arial"/>
          <w:spacing w:val="-2"/>
          <w:sz w:val="20"/>
          <w:szCs w:val="20"/>
        </w:rPr>
        <w:t>, OEM) y la Agencia Federal para el Manejo de Emergencias (</w:t>
      </w:r>
      <w:r w:rsidRPr="00F939C3">
        <w:rPr>
          <w:rFonts w:ascii="Arial" w:hAnsi="Arial"/>
          <w:i/>
          <w:iCs/>
          <w:spacing w:val="-2"/>
          <w:sz w:val="20"/>
          <w:szCs w:val="20"/>
        </w:rPr>
        <w:t>Federal Emergency Management Agency</w:t>
      </w:r>
      <w:r w:rsidRPr="00F939C3">
        <w:rPr>
          <w:rFonts w:ascii="Arial" w:hAnsi="Arial"/>
          <w:spacing w:val="-2"/>
          <w:sz w:val="20"/>
          <w:szCs w:val="20"/>
        </w:rPr>
        <w:t>, FEMA). El proyecto fue financiado por la Subvención de Mitigación antes de un Desastre (</w:t>
      </w:r>
      <w:r w:rsidRPr="00F939C3">
        <w:rPr>
          <w:rFonts w:ascii="Arial" w:hAnsi="Arial"/>
          <w:i/>
          <w:iCs/>
          <w:spacing w:val="-2"/>
          <w:sz w:val="20"/>
          <w:szCs w:val="20"/>
        </w:rPr>
        <w:t>Pre-</w:t>
      </w:r>
      <w:proofErr w:type="spellStart"/>
      <w:r w:rsidRPr="00F939C3">
        <w:rPr>
          <w:rFonts w:ascii="Arial" w:hAnsi="Arial"/>
          <w:i/>
          <w:iCs/>
          <w:spacing w:val="-2"/>
          <w:sz w:val="20"/>
          <w:szCs w:val="20"/>
        </w:rPr>
        <w:t>Disaster</w:t>
      </w:r>
      <w:proofErr w:type="spellEnd"/>
      <w:r w:rsidRPr="00F939C3">
        <w:rPr>
          <w:rFonts w:ascii="Arial" w:hAnsi="Arial"/>
          <w:i/>
          <w:iCs/>
          <w:spacing w:val="-2"/>
          <w:sz w:val="20"/>
          <w:szCs w:val="20"/>
        </w:rPr>
        <w:t xml:space="preserve"> </w:t>
      </w:r>
      <w:proofErr w:type="spellStart"/>
      <w:r w:rsidRPr="00F939C3">
        <w:rPr>
          <w:rFonts w:ascii="Arial" w:hAnsi="Arial"/>
          <w:i/>
          <w:iCs/>
          <w:spacing w:val="-2"/>
          <w:sz w:val="20"/>
          <w:szCs w:val="20"/>
        </w:rPr>
        <w:t>Mitigation</w:t>
      </w:r>
      <w:proofErr w:type="spellEnd"/>
      <w:r w:rsidRPr="00F939C3">
        <w:rPr>
          <w:rFonts w:ascii="Arial" w:hAnsi="Arial"/>
          <w:spacing w:val="-2"/>
          <w:sz w:val="20"/>
          <w:szCs w:val="20"/>
        </w:rPr>
        <w:t>, PDM) de FEMA del año fiscal 2019 (PDMC-PL-10-OR-2019-002). Un coordinador de manejo de emergencias del Departamento de Uso de Tierras y Transporte del condado de Washington administró la subvención y dirigió el proyecto.</w:t>
      </w:r>
    </w:p>
    <w:p w14:paraId="175CFE33" w14:textId="77777777" w:rsidR="00763CF2" w:rsidRPr="00B81091" w:rsidRDefault="00763CF2" w:rsidP="00F939C3">
      <w:pPr>
        <w:spacing w:after="0" w:line="230" w:lineRule="auto"/>
        <w:rPr>
          <w:rFonts w:ascii="Arial" w:hAnsi="Arial"/>
          <w:sz w:val="16"/>
          <w:szCs w:val="16"/>
        </w:rPr>
      </w:pPr>
    </w:p>
    <w:p w14:paraId="6590A305" w14:textId="7AE47FBA" w:rsidR="00763CF2" w:rsidRPr="00763CF2" w:rsidRDefault="00763CF2" w:rsidP="00F939C3">
      <w:pPr>
        <w:keepNext/>
        <w:keepLines/>
        <w:spacing w:after="0" w:line="230" w:lineRule="auto"/>
        <w:rPr>
          <w:rFonts w:ascii="Arial" w:hAnsi="Arial"/>
          <w:sz w:val="20"/>
          <w:szCs w:val="20"/>
        </w:rPr>
      </w:pPr>
      <w:r>
        <w:rPr>
          <w:rFonts w:ascii="Arial" w:hAnsi="Arial"/>
          <w:sz w:val="20"/>
          <w:szCs w:val="20"/>
        </w:rPr>
        <w:t xml:space="preserve">El área de planificación de este plan es para el condado de Washington, </w:t>
      </w:r>
      <w:proofErr w:type="spellStart"/>
      <w:r>
        <w:rPr>
          <w:rFonts w:ascii="Arial" w:hAnsi="Arial"/>
          <w:sz w:val="20"/>
          <w:szCs w:val="20"/>
        </w:rPr>
        <w:t>Oregon</w:t>
      </w:r>
      <w:proofErr w:type="spellEnd"/>
      <w:r>
        <w:rPr>
          <w:rFonts w:ascii="Arial" w:hAnsi="Arial"/>
          <w:sz w:val="20"/>
          <w:szCs w:val="20"/>
        </w:rPr>
        <w:t xml:space="preserve">. Los participantes de la planificación incluyen las siguientes jurisdicciones y distritos especiales: </w:t>
      </w:r>
    </w:p>
    <w:p w14:paraId="78CAF55E" w14:textId="77777777" w:rsidR="00763CF2" w:rsidRPr="008A426B" w:rsidRDefault="00763CF2" w:rsidP="00B81091">
      <w:pPr>
        <w:pStyle w:val="ListParagraph"/>
        <w:keepNext/>
        <w:keepLines/>
        <w:numPr>
          <w:ilvl w:val="0"/>
          <w:numId w:val="6"/>
        </w:numPr>
        <w:tabs>
          <w:tab w:val="num" w:pos="720"/>
        </w:tabs>
        <w:spacing w:before="80" w:after="0" w:line="230" w:lineRule="auto"/>
        <w:ind w:left="1077" w:hanging="357"/>
        <w:rPr>
          <w:rFonts w:ascii="Arial" w:hAnsi="Arial"/>
          <w:sz w:val="20"/>
          <w:szCs w:val="24"/>
        </w:rPr>
      </w:pPr>
      <w:r>
        <w:rPr>
          <w:rFonts w:ascii="Arial" w:hAnsi="Arial"/>
          <w:sz w:val="20"/>
          <w:szCs w:val="24"/>
        </w:rPr>
        <w:t xml:space="preserve">Ciudad de </w:t>
      </w:r>
      <w:proofErr w:type="spellStart"/>
      <w:r>
        <w:rPr>
          <w:rFonts w:ascii="Arial" w:hAnsi="Arial"/>
          <w:sz w:val="20"/>
          <w:szCs w:val="24"/>
        </w:rPr>
        <w:t>Beaverton</w:t>
      </w:r>
      <w:proofErr w:type="spellEnd"/>
      <w:r w:rsidRPr="00763CF2">
        <w:rPr>
          <w:rFonts w:cs="Arial"/>
          <w:vertAlign w:val="superscript"/>
        </w:rPr>
        <w:footnoteReference w:id="1"/>
      </w:r>
    </w:p>
    <w:p w14:paraId="1D340F56" w14:textId="77777777" w:rsidR="00763CF2" w:rsidRPr="008A426B" w:rsidRDefault="00763CF2" w:rsidP="00B81091">
      <w:pPr>
        <w:pStyle w:val="ListParagraph"/>
        <w:keepNext/>
        <w:keepLines/>
        <w:numPr>
          <w:ilvl w:val="0"/>
          <w:numId w:val="6"/>
        </w:numPr>
        <w:tabs>
          <w:tab w:val="num" w:pos="720"/>
        </w:tabs>
        <w:spacing w:before="80" w:after="0" w:line="230" w:lineRule="auto"/>
        <w:ind w:left="1077" w:hanging="357"/>
        <w:rPr>
          <w:rFonts w:ascii="Arial" w:hAnsi="Arial"/>
          <w:sz w:val="20"/>
          <w:szCs w:val="24"/>
        </w:rPr>
      </w:pPr>
      <w:r>
        <w:rPr>
          <w:rFonts w:ascii="Arial" w:hAnsi="Arial"/>
          <w:sz w:val="20"/>
          <w:szCs w:val="24"/>
        </w:rPr>
        <w:t>Ciudad de Cornelius</w:t>
      </w:r>
      <w:r w:rsidRPr="00763CF2">
        <w:rPr>
          <w:rFonts w:cs="Arial"/>
          <w:vertAlign w:val="superscript"/>
        </w:rPr>
        <w:footnoteReference w:id="2"/>
      </w:r>
      <w:r>
        <w:rPr>
          <w:rFonts w:ascii="Arial" w:hAnsi="Arial"/>
          <w:sz w:val="20"/>
          <w:szCs w:val="24"/>
          <w:vertAlign w:val="superscript"/>
        </w:rPr>
        <w:t xml:space="preserve">, </w:t>
      </w:r>
      <w:r w:rsidRPr="00763CF2">
        <w:rPr>
          <w:rFonts w:cs="Arial"/>
          <w:vertAlign w:val="superscript"/>
        </w:rPr>
        <w:footnoteReference w:id="3"/>
      </w:r>
    </w:p>
    <w:p w14:paraId="713D1734" w14:textId="77777777" w:rsidR="00763CF2" w:rsidRPr="008A426B" w:rsidRDefault="00763CF2" w:rsidP="00B81091">
      <w:pPr>
        <w:pStyle w:val="ListParagraph"/>
        <w:numPr>
          <w:ilvl w:val="0"/>
          <w:numId w:val="6"/>
        </w:numPr>
        <w:tabs>
          <w:tab w:val="num" w:pos="720"/>
        </w:tabs>
        <w:spacing w:before="80" w:after="0" w:line="230" w:lineRule="auto"/>
        <w:ind w:left="1077" w:hanging="357"/>
        <w:rPr>
          <w:rFonts w:ascii="Arial" w:hAnsi="Arial"/>
          <w:sz w:val="20"/>
          <w:szCs w:val="24"/>
        </w:rPr>
      </w:pPr>
      <w:r>
        <w:rPr>
          <w:rFonts w:ascii="Arial" w:hAnsi="Arial"/>
          <w:sz w:val="20"/>
          <w:szCs w:val="24"/>
        </w:rPr>
        <w:t>Ciudad de Forest Grove</w:t>
      </w:r>
      <w:r>
        <w:rPr>
          <w:rFonts w:ascii="Arial" w:hAnsi="Arial"/>
          <w:sz w:val="20"/>
          <w:szCs w:val="24"/>
          <w:vertAlign w:val="superscript"/>
        </w:rPr>
        <w:t>2, 3</w:t>
      </w:r>
      <w:r>
        <w:rPr>
          <w:rFonts w:ascii="Arial" w:hAnsi="Arial"/>
          <w:sz w:val="20"/>
          <w:szCs w:val="24"/>
        </w:rPr>
        <w:t xml:space="preserve"> </w:t>
      </w:r>
    </w:p>
    <w:p w14:paraId="4FB0123C" w14:textId="77777777" w:rsidR="00763CF2" w:rsidRPr="008A426B" w:rsidRDefault="00763CF2" w:rsidP="00B81091">
      <w:pPr>
        <w:pStyle w:val="ListParagraph"/>
        <w:numPr>
          <w:ilvl w:val="0"/>
          <w:numId w:val="6"/>
        </w:numPr>
        <w:tabs>
          <w:tab w:val="num" w:pos="720"/>
        </w:tabs>
        <w:spacing w:before="80" w:after="0" w:line="230" w:lineRule="auto"/>
        <w:ind w:left="1077" w:hanging="357"/>
        <w:rPr>
          <w:rFonts w:ascii="Arial" w:hAnsi="Arial"/>
          <w:sz w:val="20"/>
          <w:szCs w:val="24"/>
        </w:rPr>
      </w:pPr>
      <w:r>
        <w:rPr>
          <w:rFonts w:ascii="Arial" w:hAnsi="Arial"/>
          <w:sz w:val="20"/>
          <w:szCs w:val="24"/>
        </w:rPr>
        <w:t>Ciudad de Hillsboro</w:t>
      </w:r>
    </w:p>
    <w:p w14:paraId="30B87AD0" w14:textId="77777777" w:rsidR="00763CF2" w:rsidRPr="008A426B" w:rsidRDefault="00763CF2" w:rsidP="00B81091">
      <w:pPr>
        <w:pStyle w:val="ListParagraph"/>
        <w:numPr>
          <w:ilvl w:val="0"/>
          <w:numId w:val="6"/>
        </w:numPr>
        <w:tabs>
          <w:tab w:val="num" w:pos="720"/>
        </w:tabs>
        <w:spacing w:before="80" w:after="0" w:line="230" w:lineRule="auto"/>
        <w:ind w:left="1077" w:hanging="357"/>
        <w:rPr>
          <w:rFonts w:ascii="Arial" w:hAnsi="Arial"/>
          <w:sz w:val="20"/>
          <w:szCs w:val="24"/>
        </w:rPr>
      </w:pPr>
      <w:r>
        <w:rPr>
          <w:rFonts w:ascii="Arial" w:hAnsi="Arial"/>
          <w:sz w:val="20"/>
          <w:szCs w:val="24"/>
        </w:rPr>
        <w:t>Ciudad de North Plains</w:t>
      </w:r>
      <w:r>
        <w:rPr>
          <w:rFonts w:ascii="Arial" w:hAnsi="Arial"/>
          <w:sz w:val="20"/>
          <w:szCs w:val="24"/>
          <w:vertAlign w:val="superscript"/>
        </w:rPr>
        <w:t>2</w:t>
      </w:r>
    </w:p>
    <w:p w14:paraId="304C506F" w14:textId="77777777" w:rsidR="00763CF2" w:rsidRPr="008A426B" w:rsidRDefault="00763CF2" w:rsidP="00B81091">
      <w:pPr>
        <w:pStyle w:val="ListParagraph"/>
        <w:numPr>
          <w:ilvl w:val="0"/>
          <w:numId w:val="6"/>
        </w:numPr>
        <w:tabs>
          <w:tab w:val="num" w:pos="720"/>
        </w:tabs>
        <w:spacing w:before="80" w:after="0" w:line="230" w:lineRule="auto"/>
        <w:ind w:left="1077" w:hanging="357"/>
        <w:rPr>
          <w:rFonts w:ascii="Arial" w:hAnsi="Arial"/>
          <w:sz w:val="20"/>
          <w:szCs w:val="24"/>
        </w:rPr>
      </w:pPr>
      <w:r>
        <w:rPr>
          <w:rFonts w:ascii="Arial" w:hAnsi="Arial"/>
          <w:sz w:val="20"/>
          <w:szCs w:val="24"/>
        </w:rPr>
        <w:t>Ciudad de Sherwood</w:t>
      </w:r>
      <w:r>
        <w:rPr>
          <w:rFonts w:ascii="Arial" w:hAnsi="Arial"/>
          <w:sz w:val="20"/>
          <w:szCs w:val="24"/>
          <w:vertAlign w:val="superscript"/>
        </w:rPr>
        <w:t>2</w:t>
      </w:r>
    </w:p>
    <w:p w14:paraId="7AB6881D" w14:textId="77777777" w:rsidR="00763CF2" w:rsidRPr="008A426B" w:rsidRDefault="00763CF2" w:rsidP="00F939C3">
      <w:pPr>
        <w:pStyle w:val="ListParagraph"/>
        <w:numPr>
          <w:ilvl w:val="0"/>
          <w:numId w:val="6"/>
        </w:numPr>
        <w:tabs>
          <w:tab w:val="num" w:pos="720"/>
        </w:tabs>
        <w:spacing w:before="120" w:after="0" w:line="230" w:lineRule="auto"/>
        <w:rPr>
          <w:rFonts w:ascii="Arial" w:hAnsi="Arial"/>
          <w:sz w:val="20"/>
          <w:szCs w:val="24"/>
        </w:rPr>
      </w:pPr>
      <w:r>
        <w:rPr>
          <w:rFonts w:ascii="Arial" w:hAnsi="Arial"/>
          <w:sz w:val="20"/>
          <w:szCs w:val="24"/>
        </w:rPr>
        <w:t xml:space="preserve">Ciudad de </w:t>
      </w:r>
      <w:proofErr w:type="spellStart"/>
      <w:r>
        <w:rPr>
          <w:rFonts w:ascii="Arial" w:hAnsi="Arial"/>
          <w:sz w:val="20"/>
          <w:szCs w:val="24"/>
        </w:rPr>
        <w:t>Tigard</w:t>
      </w:r>
      <w:proofErr w:type="spellEnd"/>
    </w:p>
    <w:p w14:paraId="4790BFEA" w14:textId="77777777" w:rsidR="00763CF2" w:rsidRPr="008A426B" w:rsidRDefault="00763CF2" w:rsidP="00F939C3">
      <w:pPr>
        <w:pStyle w:val="ListParagraph"/>
        <w:numPr>
          <w:ilvl w:val="0"/>
          <w:numId w:val="6"/>
        </w:numPr>
        <w:tabs>
          <w:tab w:val="num" w:pos="720"/>
        </w:tabs>
        <w:spacing w:before="120" w:after="0" w:line="230" w:lineRule="auto"/>
        <w:rPr>
          <w:rFonts w:ascii="Arial" w:hAnsi="Arial"/>
          <w:sz w:val="20"/>
          <w:szCs w:val="24"/>
        </w:rPr>
      </w:pPr>
      <w:proofErr w:type="spellStart"/>
      <w:r>
        <w:rPr>
          <w:rFonts w:ascii="Arial" w:hAnsi="Arial"/>
          <w:sz w:val="20"/>
          <w:szCs w:val="24"/>
        </w:rPr>
        <w:t>Clean</w:t>
      </w:r>
      <w:proofErr w:type="spellEnd"/>
      <w:r>
        <w:rPr>
          <w:rFonts w:ascii="Arial" w:hAnsi="Arial"/>
          <w:sz w:val="20"/>
          <w:szCs w:val="24"/>
        </w:rPr>
        <w:t xml:space="preserve"> </w:t>
      </w:r>
      <w:proofErr w:type="spellStart"/>
      <w:r>
        <w:rPr>
          <w:rFonts w:ascii="Arial" w:hAnsi="Arial"/>
          <w:sz w:val="20"/>
          <w:szCs w:val="24"/>
        </w:rPr>
        <w:t>Water</w:t>
      </w:r>
      <w:proofErr w:type="spellEnd"/>
      <w:r>
        <w:rPr>
          <w:rFonts w:ascii="Arial" w:hAnsi="Arial"/>
          <w:sz w:val="20"/>
          <w:szCs w:val="24"/>
        </w:rPr>
        <w:t xml:space="preserve"> Services</w:t>
      </w:r>
      <w:r>
        <w:rPr>
          <w:rFonts w:ascii="Arial" w:hAnsi="Arial"/>
          <w:sz w:val="20"/>
          <w:szCs w:val="24"/>
          <w:vertAlign w:val="superscript"/>
        </w:rPr>
        <w:t>2</w:t>
      </w:r>
    </w:p>
    <w:p w14:paraId="171F45C2" w14:textId="1965D30E" w:rsidR="00763CF2" w:rsidRPr="00BE628A" w:rsidRDefault="00763CF2" w:rsidP="00F939C3">
      <w:pPr>
        <w:pStyle w:val="ListParagraph"/>
        <w:numPr>
          <w:ilvl w:val="0"/>
          <w:numId w:val="6"/>
        </w:numPr>
        <w:tabs>
          <w:tab w:val="num" w:pos="720"/>
        </w:tabs>
        <w:spacing w:before="120" w:after="0" w:line="230" w:lineRule="auto"/>
        <w:rPr>
          <w:rFonts w:ascii="Arial" w:hAnsi="Arial"/>
          <w:sz w:val="20"/>
          <w:szCs w:val="24"/>
          <w:lang w:val="en-US"/>
        </w:rPr>
      </w:pPr>
      <w:r w:rsidRPr="00BE628A">
        <w:rPr>
          <w:rFonts w:ascii="Arial" w:hAnsi="Arial"/>
          <w:sz w:val="20"/>
          <w:szCs w:val="24"/>
          <w:lang w:val="en-US"/>
        </w:rPr>
        <w:t>Tualatin Hills Parks and Recreation District</w:t>
      </w:r>
      <w:r w:rsidRPr="00BE628A">
        <w:rPr>
          <w:rFonts w:ascii="Arial" w:hAnsi="Arial"/>
          <w:sz w:val="20"/>
          <w:szCs w:val="24"/>
          <w:vertAlign w:val="superscript"/>
          <w:lang w:val="en-US"/>
        </w:rPr>
        <w:t>2</w:t>
      </w:r>
    </w:p>
    <w:p w14:paraId="25C3DD79" w14:textId="77777777" w:rsidR="00763CF2" w:rsidRPr="008A426B" w:rsidRDefault="00763CF2" w:rsidP="00F939C3">
      <w:pPr>
        <w:pStyle w:val="ListParagraph"/>
        <w:numPr>
          <w:ilvl w:val="0"/>
          <w:numId w:val="6"/>
        </w:numPr>
        <w:tabs>
          <w:tab w:val="num" w:pos="720"/>
        </w:tabs>
        <w:spacing w:before="120" w:after="0" w:line="230" w:lineRule="auto"/>
        <w:rPr>
          <w:rFonts w:ascii="Arial" w:hAnsi="Arial"/>
          <w:sz w:val="20"/>
          <w:szCs w:val="24"/>
        </w:rPr>
      </w:pPr>
      <w:r>
        <w:rPr>
          <w:rFonts w:ascii="Arial" w:hAnsi="Arial"/>
          <w:sz w:val="20"/>
          <w:szCs w:val="24"/>
        </w:rPr>
        <w:lastRenderedPageBreak/>
        <w:t xml:space="preserve">Tualatin Valley </w:t>
      </w:r>
      <w:proofErr w:type="spellStart"/>
      <w:r>
        <w:rPr>
          <w:rFonts w:ascii="Arial" w:hAnsi="Arial"/>
          <w:sz w:val="20"/>
          <w:szCs w:val="24"/>
        </w:rPr>
        <w:t>Water</w:t>
      </w:r>
      <w:proofErr w:type="spellEnd"/>
      <w:r>
        <w:rPr>
          <w:rFonts w:ascii="Arial" w:hAnsi="Arial"/>
          <w:sz w:val="20"/>
          <w:szCs w:val="24"/>
        </w:rPr>
        <w:t xml:space="preserve"> District</w:t>
      </w:r>
      <w:r>
        <w:rPr>
          <w:rFonts w:ascii="Arial" w:hAnsi="Arial"/>
          <w:sz w:val="20"/>
          <w:szCs w:val="24"/>
          <w:vertAlign w:val="superscript"/>
        </w:rPr>
        <w:t>2</w:t>
      </w:r>
    </w:p>
    <w:p w14:paraId="6614350F" w14:textId="77777777" w:rsidR="00763CF2" w:rsidRPr="008A426B" w:rsidRDefault="00763CF2" w:rsidP="00F939C3">
      <w:pPr>
        <w:pStyle w:val="ListParagraph"/>
        <w:numPr>
          <w:ilvl w:val="0"/>
          <w:numId w:val="6"/>
        </w:numPr>
        <w:tabs>
          <w:tab w:val="num" w:pos="720"/>
        </w:tabs>
        <w:spacing w:before="120" w:after="0" w:line="230" w:lineRule="auto"/>
        <w:rPr>
          <w:rFonts w:ascii="Arial" w:hAnsi="Arial"/>
          <w:sz w:val="20"/>
          <w:szCs w:val="24"/>
        </w:rPr>
      </w:pPr>
      <w:r>
        <w:rPr>
          <w:rFonts w:ascii="Arial" w:hAnsi="Arial"/>
          <w:sz w:val="20"/>
          <w:szCs w:val="24"/>
        </w:rPr>
        <w:t xml:space="preserve">Condado de Washington </w:t>
      </w:r>
    </w:p>
    <w:p w14:paraId="304472F1" w14:textId="77777777" w:rsidR="00763CF2" w:rsidRPr="00763CF2" w:rsidRDefault="00763CF2" w:rsidP="00F939C3">
      <w:pPr>
        <w:spacing w:after="0" w:line="230" w:lineRule="auto"/>
        <w:rPr>
          <w:rFonts w:ascii="Arial" w:hAnsi="Arial"/>
          <w:sz w:val="20"/>
          <w:szCs w:val="24"/>
        </w:rPr>
      </w:pPr>
    </w:p>
    <w:p w14:paraId="4CFA5002" w14:textId="77777777" w:rsidR="00763CF2" w:rsidRPr="00763CF2" w:rsidRDefault="00763CF2" w:rsidP="00F939C3">
      <w:pPr>
        <w:spacing w:after="0" w:line="230" w:lineRule="auto"/>
        <w:rPr>
          <w:rFonts w:ascii="Arial" w:hAnsi="Arial"/>
          <w:sz w:val="20"/>
          <w:szCs w:val="24"/>
        </w:rPr>
      </w:pPr>
      <w:r>
        <w:t>La Figura 1</w:t>
      </w:r>
      <w:r>
        <w:rPr>
          <w:rFonts w:ascii="Arial" w:hAnsi="Arial"/>
          <w:sz w:val="20"/>
          <w:szCs w:val="24"/>
        </w:rPr>
        <w:t xml:space="preserve"> muestra la ubicación de todas las jurisdicciones que participan y las áreas de servicio de los distritos especiales que participan. Las áreas no incorporadas del condado están bajo la jurisdicción del condado de Washington. </w:t>
      </w:r>
    </w:p>
    <w:p w14:paraId="39DC2901" w14:textId="77777777" w:rsidR="00763CF2" w:rsidRPr="00763CF2" w:rsidRDefault="00763CF2" w:rsidP="00F939C3">
      <w:pPr>
        <w:spacing w:after="0" w:line="230" w:lineRule="auto"/>
        <w:rPr>
          <w:rFonts w:ascii="Arial" w:hAnsi="Arial"/>
          <w:sz w:val="20"/>
          <w:szCs w:val="24"/>
        </w:rPr>
      </w:pPr>
    </w:p>
    <w:p w14:paraId="4E1DE1C1" w14:textId="77777777" w:rsidR="00763CF2" w:rsidRPr="00763CF2" w:rsidRDefault="00763CF2" w:rsidP="00F939C3">
      <w:pPr>
        <w:spacing w:after="0" w:line="230" w:lineRule="auto"/>
        <w:jc w:val="center"/>
        <w:rPr>
          <w:rFonts w:ascii="Arial" w:hAnsi="Arial"/>
          <w:sz w:val="20"/>
          <w:szCs w:val="24"/>
        </w:rPr>
      </w:pPr>
      <w:r>
        <w:rPr>
          <w:rFonts w:ascii="Arial" w:hAnsi="Arial"/>
          <w:noProof/>
          <w:sz w:val="20"/>
          <w:szCs w:val="24"/>
          <w:lang w:val="es-UY" w:eastAsia="es-UY"/>
        </w:rPr>
        <w:drawing>
          <wp:inline distT="0" distB="0" distL="0" distR="0" wp14:anchorId="23D77B45" wp14:editId="2F554881">
            <wp:extent cx="5943600" cy="42925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92599"/>
                    </a:xfrm>
                    <a:prstGeom prst="rect">
                      <a:avLst/>
                    </a:prstGeom>
                  </pic:spPr>
                </pic:pic>
              </a:graphicData>
            </a:graphic>
          </wp:inline>
        </w:drawing>
      </w:r>
    </w:p>
    <w:p w14:paraId="6B6A9382" w14:textId="79202E66" w:rsidR="00763CF2" w:rsidRPr="00763CF2" w:rsidRDefault="00763CF2" w:rsidP="00B81091">
      <w:pPr>
        <w:keepNext/>
        <w:keepLines/>
        <w:spacing w:after="240" w:line="230" w:lineRule="auto"/>
        <w:jc w:val="center"/>
        <w:rPr>
          <w:rFonts w:ascii="Arial" w:hAnsi="Arial" w:cs="Arial"/>
          <w:b/>
          <w:color w:val="005A9E"/>
          <w:sz w:val="20"/>
          <w:szCs w:val="20"/>
        </w:rPr>
      </w:pPr>
      <w:bookmarkStart w:id="0" w:name="_Ref119568071"/>
      <w:r>
        <w:rPr>
          <w:rFonts w:ascii="Arial" w:hAnsi="Arial"/>
          <w:b/>
          <w:color w:val="005A9E"/>
          <w:sz w:val="20"/>
          <w:szCs w:val="20"/>
        </w:rPr>
        <w:t xml:space="preserve">Figura </w:t>
      </w:r>
      <w:r w:rsidRPr="00763CF2">
        <w:rPr>
          <w:rFonts w:ascii="Arial" w:hAnsi="Arial" w:cs="Arial"/>
          <w:b/>
          <w:color w:val="005A9E"/>
          <w:sz w:val="20"/>
          <w:szCs w:val="20"/>
        </w:rPr>
        <w:fldChar w:fldCharType="begin"/>
      </w:r>
      <w:r w:rsidRPr="00763CF2">
        <w:rPr>
          <w:rFonts w:ascii="Arial" w:hAnsi="Arial" w:cs="Arial"/>
          <w:b/>
          <w:color w:val="005A9E"/>
          <w:sz w:val="20"/>
          <w:szCs w:val="20"/>
        </w:rPr>
        <w:instrText>SEQ Figure \* ARABIC</w:instrText>
      </w:r>
      <w:r w:rsidRPr="00763CF2">
        <w:rPr>
          <w:rFonts w:ascii="Arial" w:hAnsi="Arial" w:cs="Arial"/>
          <w:b/>
          <w:color w:val="005A9E"/>
          <w:sz w:val="20"/>
          <w:szCs w:val="20"/>
        </w:rPr>
        <w:fldChar w:fldCharType="separate"/>
      </w:r>
      <w:r w:rsidRPr="00763CF2">
        <w:rPr>
          <w:rFonts w:ascii="Arial" w:hAnsi="Arial" w:cs="Arial"/>
          <w:b/>
          <w:color w:val="005A9E"/>
          <w:sz w:val="20"/>
          <w:szCs w:val="20"/>
        </w:rPr>
        <w:t>1</w:t>
      </w:r>
      <w:r w:rsidRPr="00763CF2">
        <w:rPr>
          <w:rFonts w:ascii="Arial" w:hAnsi="Arial" w:cs="Arial"/>
          <w:b/>
          <w:color w:val="005A9E"/>
          <w:sz w:val="20"/>
          <w:szCs w:val="20"/>
        </w:rPr>
        <w:fldChar w:fldCharType="end"/>
      </w:r>
      <w:bookmarkEnd w:id="0"/>
      <w:r>
        <w:rPr>
          <w:rFonts w:ascii="Arial" w:hAnsi="Arial"/>
          <w:b/>
          <w:color w:val="005A9E"/>
          <w:sz w:val="20"/>
          <w:szCs w:val="20"/>
        </w:rPr>
        <w:t xml:space="preserve">: Área de planificación del Plan de Mitigación de Amenazas Naturales del </w:t>
      </w:r>
      <w:r w:rsidR="00B81091">
        <w:rPr>
          <w:rFonts w:ascii="Arial" w:hAnsi="Arial"/>
          <w:b/>
          <w:color w:val="005A9E"/>
          <w:sz w:val="20"/>
          <w:szCs w:val="20"/>
        </w:rPr>
        <w:br/>
        <w:t>C</w:t>
      </w:r>
      <w:r>
        <w:rPr>
          <w:rFonts w:ascii="Arial" w:hAnsi="Arial"/>
          <w:b/>
          <w:color w:val="005A9E"/>
          <w:sz w:val="20"/>
          <w:szCs w:val="20"/>
        </w:rPr>
        <w:t>ondado de Washington</w:t>
      </w:r>
    </w:p>
    <w:p w14:paraId="72A9DFBB" w14:textId="21EFBA3A" w:rsidR="00763CF2" w:rsidRPr="00763CF2" w:rsidRDefault="00763CF2" w:rsidP="00F939C3">
      <w:pPr>
        <w:spacing w:after="0" w:line="230" w:lineRule="auto"/>
        <w:rPr>
          <w:rFonts w:ascii="Arial" w:hAnsi="Arial"/>
          <w:sz w:val="20"/>
          <w:szCs w:val="24"/>
        </w:rPr>
      </w:pPr>
      <w:r>
        <w:rPr>
          <w:rFonts w:ascii="Arial" w:hAnsi="Arial"/>
          <w:sz w:val="20"/>
          <w:szCs w:val="20"/>
        </w:rPr>
        <w:t xml:space="preserve">El Comité Directivo del NHMP identificó las siguientes amenazas en el área de planificación. Estas amenazas se describen en la Sección </w:t>
      </w:r>
      <w:r w:rsidRPr="004F7AB9">
        <w:rPr>
          <w:rFonts w:ascii="Arial" w:hAnsi="Arial"/>
          <w:sz w:val="20"/>
          <w:szCs w:val="20"/>
        </w:rPr>
        <w:fldChar w:fldCharType="begin"/>
      </w:r>
      <w:r w:rsidRPr="004F7AB9">
        <w:rPr>
          <w:rFonts w:ascii="Arial" w:hAnsi="Arial"/>
          <w:sz w:val="20"/>
          <w:szCs w:val="20"/>
        </w:rPr>
        <w:instrText xml:space="preserve"> REF _Ref112059960 \r \h </w:instrText>
      </w:r>
      <w:r w:rsidR="004F7AB9">
        <w:rPr>
          <w:rFonts w:ascii="Arial" w:hAnsi="Arial"/>
          <w:sz w:val="20"/>
          <w:szCs w:val="20"/>
        </w:rPr>
        <w:instrText xml:space="preserve"> \* MERGEFORMAT </w:instrText>
      </w:r>
      <w:r w:rsidRPr="004F7AB9">
        <w:rPr>
          <w:rFonts w:ascii="Arial" w:hAnsi="Arial"/>
          <w:sz w:val="20"/>
          <w:szCs w:val="20"/>
        </w:rPr>
      </w:r>
      <w:r w:rsidRPr="004F7AB9">
        <w:rPr>
          <w:rFonts w:ascii="Arial" w:hAnsi="Arial"/>
          <w:sz w:val="20"/>
          <w:szCs w:val="20"/>
        </w:rPr>
        <w:fldChar w:fldCharType="separate"/>
      </w:r>
      <w:r w:rsidRPr="004F7AB9">
        <w:rPr>
          <w:rFonts w:ascii="Arial" w:hAnsi="Arial"/>
          <w:sz w:val="20"/>
          <w:szCs w:val="20"/>
        </w:rPr>
        <w:t>2</w:t>
      </w:r>
      <w:r w:rsidRPr="004F7AB9">
        <w:rPr>
          <w:rFonts w:ascii="Arial" w:hAnsi="Arial"/>
          <w:sz w:val="20"/>
          <w:szCs w:val="20"/>
        </w:rPr>
        <w:fldChar w:fldCharType="end"/>
      </w:r>
      <w:r>
        <w:rPr>
          <w:rFonts w:ascii="Arial" w:hAnsi="Arial"/>
          <w:sz w:val="20"/>
          <w:szCs w:val="20"/>
        </w:rPr>
        <w:t xml:space="preserve"> de este plan y la información específica sobre el riesgo de amenazas y la vulnerabilidad particular de cada participante se presenta en los anexos del participante correspondiente. Estas amenazas se muestran por orden alfabético.</w:t>
      </w:r>
    </w:p>
    <w:p w14:paraId="79F8EC5C" w14:textId="77777777" w:rsidR="00763CF2" w:rsidRPr="004F7AB9" w:rsidRDefault="00763CF2" w:rsidP="00F939C3">
      <w:pPr>
        <w:pStyle w:val="ListParagraph"/>
        <w:numPr>
          <w:ilvl w:val="0"/>
          <w:numId w:val="7"/>
        </w:numPr>
        <w:tabs>
          <w:tab w:val="num" w:pos="720"/>
        </w:tabs>
        <w:spacing w:before="120" w:after="0" w:line="230" w:lineRule="auto"/>
        <w:rPr>
          <w:rFonts w:ascii="Arial" w:hAnsi="Arial"/>
          <w:sz w:val="20"/>
          <w:szCs w:val="24"/>
        </w:rPr>
      </w:pPr>
      <w:r>
        <w:rPr>
          <w:rFonts w:ascii="Arial" w:hAnsi="Arial"/>
          <w:sz w:val="20"/>
          <w:szCs w:val="24"/>
        </w:rPr>
        <w:t>Falla de la represa</w:t>
      </w:r>
      <w:r w:rsidRPr="00763CF2">
        <w:rPr>
          <w:rFonts w:cs="Arial"/>
          <w:vertAlign w:val="superscript"/>
        </w:rPr>
        <w:footnoteReference w:id="4"/>
      </w:r>
    </w:p>
    <w:p w14:paraId="5D90871F" w14:textId="77777777" w:rsidR="00763CF2" w:rsidRPr="004F7AB9" w:rsidRDefault="00763CF2" w:rsidP="00F939C3">
      <w:pPr>
        <w:pStyle w:val="ListParagraph"/>
        <w:numPr>
          <w:ilvl w:val="0"/>
          <w:numId w:val="7"/>
        </w:numPr>
        <w:tabs>
          <w:tab w:val="num" w:pos="720"/>
        </w:tabs>
        <w:spacing w:before="120" w:after="0" w:line="230" w:lineRule="auto"/>
        <w:rPr>
          <w:rFonts w:ascii="Arial" w:hAnsi="Arial"/>
          <w:sz w:val="20"/>
          <w:szCs w:val="24"/>
        </w:rPr>
      </w:pPr>
      <w:r>
        <w:rPr>
          <w:rFonts w:ascii="Arial" w:hAnsi="Arial"/>
          <w:sz w:val="20"/>
          <w:szCs w:val="24"/>
        </w:rPr>
        <w:t>Sequía</w:t>
      </w:r>
    </w:p>
    <w:p w14:paraId="0C9C9A4A" w14:textId="77777777" w:rsidR="00763CF2" w:rsidRPr="004F7AB9" w:rsidRDefault="00763CF2" w:rsidP="00F939C3">
      <w:pPr>
        <w:pStyle w:val="ListParagraph"/>
        <w:numPr>
          <w:ilvl w:val="0"/>
          <w:numId w:val="7"/>
        </w:numPr>
        <w:tabs>
          <w:tab w:val="num" w:pos="720"/>
        </w:tabs>
        <w:spacing w:before="120" w:after="0" w:line="230" w:lineRule="auto"/>
        <w:rPr>
          <w:rFonts w:ascii="Arial" w:hAnsi="Arial"/>
          <w:sz w:val="20"/>
          <w:szCs w:val="24"/>
        </w:rPr>
      </w:pPr>
      <w:r>
        <w:rPr>
          <w:rFonts w:ascii="Arial" w:hAnsi="Arial"/>
          <w:sz w:val="20"/>
          <w:szCs w:val="24"/>
        </w:rPr>
        <w:t>Terremoto</w:t>
      </w:r>
    </w:p>
    <w:p w14:paraId="6ED7BD2E" w14:textId="77777777" w:rsidR="00763CF2" w:rsidRPr="004F7AB9" w:rsidRDefault="00763CF2" w:rsidP="00F939C3">
      <w:pPr>
        <w:pStyle w:val="ListParagraph"/>
        <w:numPr>
          <w:ilvl w:val="0"/>
          <w:numId w:val="7"/>
        </w:numPr>
        <w:tabs>
          <w:tab w:val="num" w:pos="720"/>
        </w:tabs>
        <w:spacing w:before="120" w:after="0" w:line="230" w:lineRule="auto"/>
        <w:rPr>
          <w:rFonts w:ascii="Arial" w:hAnsi="Arial"/>
          <w:sz w:val="20"/>
          <w:szCs w:val="24"/>
        </w:rPr>
      </w:pPr>
      <w:r>
        <w:rPr>
          <w:rFonts w:ascii="Arial" w:hAnsi="Arial"/>
          <w:sz w:val="20"/>
          <w:szCs w:val="24"/>
        </w:rPr>
        <w:t>Calor extremo</w:t>
      </w:r>
      <w:r w:rsidRPr="004F7AB9">
        <w:rPr>
          <w:rFonts w:ascii="Arial" w:hAnsi="Arial"/>
          <w:sz w:val="20"/>
          <w:szCs w:val="24"/>
          <w:vertAlign w:val="superscript"/>
        </w:rPr>
        <w:footnoteReference w:id="5"/>
      </w:r>
    </w:p>
    <w:p w14:paraId="658185AB" w14:textId="77777777" w:rsidR="00763CF2" w:rsidRPr="004F7AB9" w:rsidRDefault="00763CF2" w:rsidP="00F939C3">
      <w:pPr>
        <w:pStyle w:val="ListParagraph"/>
        <w:numPr>
          <w:ilvl w:val="0"/>
          <w:numId w:val="7"/>
        </w:numPr>
        <w:tabs>
          <w:tab w:val="num" w:pos="720"/>
        </w:tabs>
        <w:spacing w:before="120" w:after="0" w:line="230" w:lineRule="auto"/>
        <w:rPr>
          <w:rFonts w:ascii="Arial" w:hAnsi="Arial"/>
          <w:sz w:val="20"/>
          <w:szCs w:val="24"/>
        </w:rPr>
      </w:pPr>
      <w:r>
        <w:rPr>
          <w:rFonts w:ascii="Arial" w:hAnsi="Arial"/>
          <w:sz w:val="20"/>
          <w:szCs w:val="24"/>
        </w:rPr>
        <w:t>Inundación</w:t>
      </w:r>
    </w:p>
    <w:p w14:paraId="34F1E9FB" w14:textId="77777777" w:rsidR="00763CF2" w:rsidRPr="004F7AB9" w:rsidRDefault="00763CF2" w:rsidP="00F939C3">
      <w:pPr>
        <w:pStyle w:val="ListParagraph"/>
        <w:numPr>
          <w:ilvl w:val="0"/>
          <w:numId w:val="7"/>
        </w:numPr>
        <w:tabs>
          <w:tab w:val="num" w:pos="720"/>
        </w:tabs>
        <w:spacing w:before="120" w:after="0" w:line="230" w:lineRule="auto"/>
        <w:rPr>
          <w:rFonts w:ascii="Arial" w:hAnsi="Arial"/>
          <w:sz w:val="20"/>
          <w:szCs w:val="24"/>
        </w:rPr>
      </w:pPr>
      <w:r>
        <w:rPr>
          <w:rFonts w:ascii="Arial" w:hAnsi="Arial"/>
          <w:sz w:val="20"/>
          <w:szCs w:val="24"/>
        </w:rPr>
        <w:t>Desprendimiento de tierras</w:t>
      </w:r>
    </w:p>
    <w:p w14:paraId="3FAA1B80" w14:textId="77777777" w:rsidR="00763CF2" w:rsidRPr="004F7AB9" w:rsidRDefault="00763CF2" w:rsidP="00F939C3">
      <w:pPr>
        <w:pStyle w:val="ListParagraph"/>
        <w:numPr>
          <w:ilvl w:val="0"/>
          <w:numId w:val="7"/>
        </w:numPr>
        <w:tabs>
          <w:tab w:val="num" w:pos="720"/>
        </w:tabs>
        <w:spacing w:before="120" w:after="0" w:line="230" w:lineRule="auto"/>
        <w:rPr>
          <w:rFonts w:ascii="Arial" w:hAnsi="Arial"/>
          <w:sz w:val="20"/>
          <w:szCs w:val="24"/>
        </w:rPr>
      </w:pPr>
      <w:r>
        <w:rPr>
          <w:rFonts w:ascii="Arial" w:hAnsi="Arial"/>
          <w:sz w:val="20"/>
          <w:szCs w:val="24"/>
        </w:rPr>
        <w:t>Cenizas volcánicas</w:t>
      </w:r>
    </w:p>
    <w:p w14:paraId="7BEDC4C1" w14:textId="77777777" w:rsidR="00763CF2" w:rsidRPr="004F7AB9" w:rsidRDefault="00763CF2" w:rsidP="00F939C3">
      <w:pPr>
        <w:pStyle w:val="ListParagraph"/>
        <w:numPr>
          <w:ilvl w:val="0"/>
          <w:numId w:val="7"/>
        </w:numPr>
        <w:tabs>
          <w:tab w:val="num" w:pos="720"/>
        </w:tabs>
        <w:spacing w:before="120" w:after="0" w:line="230" w:lineRule="auto"/>
        <w:rPr>
          <w:rFonts w:ascii="Arial" w:hAnsi="Arial"/>
          <w:sz w:val="20"/>
          <w:szCs w:val="24"/>
        </w:rPr>
      </w:pPr>
      <w:r>
        <w:rPr>
          <w:rFonts w:ascii="Arial" w:hAnsi="Arial"/>
          <w:sz w:val="20"/>
          <w:szCs w:val="24"/>
        </w:rPr>
        <w:t>Incendio forestal</w:t>
      </w:r>
    </w:p>
    <w:p w14:paraId="6BA21659" w14:textId="77777777" w:rsidR="00763CF2" w:rsidRPr="004F7AB9" w:rsidRDefault="00763CF2" w:rsidP="00F939C3">
      <w:pPr>
        <w:pStyle w:val="ListParagraph"/>
        <w:numPr>
          <w:ilvl w:val="0"/>
          <w:numId w:val="7"/>
        </w:numPr>
        <w:tabs>
          <w:tab w:val="num" w:pos="720"/>
        </w:tabs>
        <w:spacing w:before="120" w:after="0" w:line="230" w:lineRule="auto"/>
        <w:rPr>
          <w:rFonts w:ascii="Arial" w:hAnsi="Arial"/>
          <w:sz w:val="20"/>
          <w:szCs w:val="24"/>
        </w:rPr>
      </w:pPr>
      <w:r>
        <w:rPr>
          <w:rFonts w:ascii="Arial" w:hAnsi="Arial"/>
          <w:sz w:val="20"/>
          <w:szCs w:val="24"/>
        </w:rPr>
        <w:t xml:space="preserve">Tormenta de viento, incluyendo tornados </w:t>
      </w:r>
    </w:p>
    <w:p w14:paraId="44404673" w14:textId="77777777" w:rsidR="00763CF2" w:rsidRPr="004F7AB9" w:rsidRDefault="00763CF2" w:rsidP="00F939C3">
      <w:pPr>
        <w:pStyle w:val="ListParagraph"/>
        <w:numPr>
          <w:ilvl w:val="0"/>
          <w:numId w:val="7"/>
        </w:numPr>
        <w:tabs>
          <w:tab w:val="num" w:pos="720"/>
        </w:tabs>
        <w:spacing w:before="120" w:after="0" w:line="230" w:lineRule="auto"/>
        <w:rPr>
          <w:rFonts w:ascii="Arial" w:hAnsi="Arial"/>
          <w:sz w:val="20"/>
          <w:szCs w:val="24"/>
        </w:rPr>
      </w:pPr>
      <w:r>
        <w:rPr>
          <w:rFonts w:ascii="Arial" w:hAnsi="Arial"/>
          <w:sz w:val="20"/>
          <w:szCs w:val="24"/>
        </w:rPr>
        <w:lastRenderedPageBreak/>
        <w:t>Tormenta de invierno</w:t>
      </w:r>
    </w:p>
    <w:p w14:paraId="70DB75D4" w14:textId="77777777" w:rsidR="00763CF2" w:rsidRPr="00763CF2" w:rsidRDefault="00763CF2" w:rsidP="00B81091">
      <w:pPr>
        <w:spacing w:after="0" w:line="240" w:lineRule="auto"/>
        <w:rPr>
          <w:rFonts w:ascii="Arial" w:hAnsi="Arial"/>
          <w:sz w:val="20"/>
          <w:szCs w:val="24"/>
        </w:rPr>
      </w:pPr>
    </w:p>
    <w:p w14:paraId="2E442DDE" w14:textId="725E76B5" w:rsidR="00763CF2" w:rsidRPr="00763CF2" w:rsidRDefault="00763CF2" w:rsidP="00B81091">
      <w:pPr>
        <w:spacing w:after="0" w:line="240" w:lineRule="auto"/>
        <w:rPr>
          <w:rFonts w:ascii="Arial" w:hAnsi="Arial"/>
          <w:sz w:val="20"/>
          <w:szCs w:val="24"/>
        </w:rPr>
      </w:pPr>
      <w:r>
        <w:rPr>
          <w:rFonts w:ascii="Arial" w:hAnsi="Arial"/>
          <w:sz w:val="20"/>
          <w:szCs w:val="24"/>
        </w:rPr>
        <w:t>Los períodos de recolección de datos durante el proceso de planificación fueron diferentes para quienes participaron en la planificación, dependiendo de su participación anterior en el NHMP, y se muestran en la Tabla 1.</w:t>
      </w:r>
    </w:p>
    <w:p w14:paraId="08A06E33" w14:textId="129FAF43" w:rsidR="00763CF2" w:rsidRPr="00763CF2" w:rsidRDefault="00763CF2" w:rsidP="00B81091">
      <w:pPr>
        <w:keepNext/>
        <w:spacing w:before="240" w:after="240" w:line="240" w:lineRule="auto"/>
        <w:jc w:val="center"/>
        <w:rPr>
          <w:rFonts w:ascii="Arial" w:hAnsi="Arial" w:cs="Arial"/>
          <w:b/>
          <w:color w:val="005A9E"/>
          <w:sz w:val="20"/>
          <w:szCs w:val="20"/>
        </w:rPr>
      </w:pPr>
      <w:bookmarkStart w:id="1" w:name="_Ref112223044"/>
      <w:r>
        <w:rPr>
          <w:rFonts w:ascii="Arial" w:hAnsi="Arial"/>
          <w:b/>
          <w:color w:val="005A9E"/>
          <w:sz w:val="20"/>
          <w:szCs w:val="20"/>
        </w:rPr>
        <w:t xml:space="preserve">Tabla </w:t>
      </w:r>
      <w:bookmarkEnd w:id="1"/>
      <w:r>
        <w:rPr>
          <w:rFonts w:ascii="Arial" w:hAnsi="Arial"/>
          <w:b/>
          <w:color w:val="005A9E"/>
          <w:sz w:val="20"/>
          <w:szCs w:val="20"/>
        </w:rPr>
        <w:t>1: Períodos de recolección de datos para los participantes de la planificación</w:t>
      </w:r>
    </w:p>
    <w:tbl>
      <w:tblPr>
        <w:tblStyle w:val="IEMTable"/>
        <w:tblW w:w="9272" w:type="dxa"/>
        <w:tblInd w:w="-2" w:type="dxa"/>
        <w:tblLook w:val="04A0" w:firstRow="1" w:lastRow="0" w:firstColumn="1" w:lastColumn="0" w:noHBand="0" w:noVBand="1"/>
      </w:tblPr>
      <w:tblGrid>
        <w:gridCol w:w="2407"/>
        <w:gridCol w:w="1843"/>
        <w:gridCol w:w="5022"/>
      </w:tblGrid>
      <w:tr w:rsidR="00763CF2" w:rsidRPr="00763CF2" w14:paraId="1DB95FE7" w14:textId="77777777" w:rsidTr="00E43E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B0581F" w14:textId="77777777" w:rsidR="00763CF2" w:rsidRPr="00763CF2" w:rsidRDefault="00763CF2" w:rsidP="00B81091">
            <w:pPr>
              <w:keepNext/>
              <w:keepLines/>
              <w:spacing w:before="120" w:after="120"/>
              <w:rPr>
                <w:rFonts w:eastAsia="Arial" w:cs="Arial"/>
                <w:b/>
                <w:szCs w:val="20"/>
              </w:rPr>
            </w:pPr>
            <w:r>
              <w:rPr>
                <w:b/>
                <w:szCs w:val="20"/>
              </w:rPr>
              <w:t>Participante</w:t>
            </w:r>
          </w:p>
        </w:tc>
        <w:tc>
          <w:tcPr>
            <w:tcW w:w="686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315C94" w14:textId="2CFCFE8F" w:rsidR="00763CF2" w:rsidRPr="00763CF2" w:rsidRDefault="00763CF2" w:rsidP="00B81091">
            <w:pPr>
              <w:keepNext/>
              <w:keepLines/>
              <w:spacing w:before="120" w:after="120"/>
              <w:cnfStyle w:val="100000000000" w:firstRow="1" w:lastRow="0" w:firstColumn="0" w:lastColumn="0" w:oddVBand="0" w:evenVBand="0" w:oddHBand="0" w:evenHBand="0" w:firstRowFirstColumn="0" w:firstRowLastColumn="0" w:lastRowFirstColumn="0" w:lastRowLastColumn="0"/>
              <w:rPr>
                <w:rFonts w:eastAsia="Arial" w:cs="Arial"/>
                <w:b/>
                <w:szCs w:val="20"/>
              </w:rPr>
            </w:pPr>
            <w:r>
              <w:rPr>
                <w:b/>
                <w:szCs w:val="20"/>
              </w:rPr>
              <w:t>Período de recolección de datos</w:t>
            </w:r>
          </w:p>
        </w:tc>
      </w:tr>
      <w:tr w:rsidR="00763CF2" w:rsidRPr="00763CF2" w14:paraId="7BE78AEF" w14:textId="77777777" w:rsidTr="00E43E9B">
        <w:trPr>
          <w:trHeight w:val="300"/>
        </w:trPr>
        <w:tc>
          <w:tcPr>
            <w:cnfStyle w:val="001000000000" w:firstRow="0" w:lastRow="0" w:firstColumn="1" w:lastColumn="0" w:oddVBand="0" w:evenVBand="0" w:oddHBand="0" w:evenHBand="0" w:firstRowFirstColumn="0" w:firstRowLastColumn="0" w:lastRowFirstColumn="0" w:lastRowLastColumn="0"/>
            <w:tcW w:w="2407" w:type="dxa"/>
            <w:vMerge/>
            <w:vAlign w:val="center"/>
          </w:tcPr>
          <w:p w14:paraId="6BA0D4FE" w14:textId="77777777" w:rsidR="00763CF2" w:rsidRPr="00763CF2" w:rsidRDefault="00763CF2" w:rsidP="00B81091">
            <w:pPr>
              <w:keepNext/>
              <w:keepLines/>
              <w:spacing w:before="120" w:after="120"/>
              <w:jc w:val="center"/>
              <w:rPr>
                <w:rFonts w:ascii="Arial" w:eastAsia="Arial" w:hAnsi="Arial" w:cs="Arial"/>
                <w:b/>
                <w:color w:val="FFFFFF" w:themeColor="background1"/>
                <w:szCs w:val="20"/>
              </w:rPr>
            </w:pPr>
          </w:p>
        </w:tc>
        <w:tc>
          <w:tcPr>
            <w:tcW w:w="1843" w:type="dxa"/>
            <w:shd w:val="clear" w:color="auto" w:fill="005A9E"/>
            <w:vAlign w:val="center"/>
          </w:tcPr>
          <w:p w14:paraId="1417F755" w14:textId="77777777" w:rsidR="00763CF2" w:rsidRPr="00763CF2" w:rsidRDefault="00763CF2" w:rsidP="00B81091">
            <w:pPr>
              <w:keepNext/>
              <w:keepLine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FFFF" w:themeColor="background1"/>
                <w:szCs w:val="20"/>
              </w:rPr>
            </w:pPr>
            <w:r>
              <w:rPr>
                <w:rFonts w:ascii="Arial" w:hAnsi="Arial"/>
                <w:b/>
                <w:color w:val="FFFFFF" w:themeColor="background1"/>
                <w:szCs w:val="20"/>
              </w:rPr>
              <w:t>Desde</w:t>
            </w:r>
          </w:p>
        </w:tc>
        <w:tc>
          <w:tcPr>
            <w:tcW w:w="5022" w:type="dxa"/>
            <w:shd w:val="clear" w:color="auto" w:fill="005A9E"/>
            <w:vAlign w:val="center"/>
          </w:tcPr>
          <w:p w14:paraId="76783072" w14:textId="77777777" w:rsidR="00763CF2" w:rsidRPr="00763CF2" w:rsidRDefault="00763CF2" w:rsidP="00B81091">
            <w:pPr>
              <w:keepNext/>
              <w:keepLine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FFFF" w:themeColor="background1"/>
                <w:szCs w:val="20"/>
              </w:rPr>
            </w:pPr>
            <w:r>
              <w:rPr>
                <w:rFonts w:ascii="Arial" w:hAnsi="Arial"/>
                <w:b/>
                <w:color w:val="FFFFFF" w:themeColor="background1"/>
                <w:szCs w:val="20"/>
              </w:rPr>
              <w:t>Hasta</w:t>
            </w:r>
          </w:p>
        </w:tc>
      </w:tr>
      <w:tr w:rsidR="00763CF2" w:rsidRPr="00763CF2" w14:paraId="0D589C0F" w14:textId="77777777" w:rsidTr="00E43E9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7CC9E709" w14:textId="77777777" w:rsidR="00763CF2" w:rsidRPr="00763CF2" w:rsidRDefault="00763CF2" w:rsidP="00B81091">
            <w:pPr>
              <w:keepNext/>
              <w:keepLines/>
              <w:jc w:val="center"/>
              <w:rPr>
                <w:rFonts w:ascii="Arial" w:eastAsia="Arial" w:hAnsi="Arial" w:cs="Arial"/>
                <w:szCs w:val="20"/>
              </w:rPr>
            </w:pPr>
            <w:r>
              <w:rPr>
                <w:rFonts w:ascii="Arial" w:hAnsi="Arial"/>
                <w:szCs w:val="20"/>
              </w:rPr>
              <w:t xml:space="preserve">Condado de Washington y ciudades de </w:t>
            </w:r>
            <w:proofErr w:type="spellStart"/>
            <w:r>
              <w:rPr>
                <w:rFonts w:ascii="Arial" w:hAnsi="Arial"/>
                <w:szCs w:val="20"/>
              </w:rPr>
              <w:t>Tigard</w:t>
            </w:r>
            <w:proofErr w:type="spellEnd"/>
            <w:r>
              <w:rPr>
                <w:rFonts w:ascii="Arial" w:hAnsi="Arial"/>
                <w:szCs w:val="20"/>
              </w:rPr>
              <w:t xml:space="preserve"> y Hillsboro</w:t>
            </w:r>
          </w:p>
        </w:tc>
        <w:tc>
          <w:tcPr>
            <w:tcW w:w="1843" w:type="dxa"/>
            <w:vAlign w:val="center"/>
          </w:tcPr>
          <w:p w14:paraId="68B139FB" w14:textId="00BE70B8" w:rsidR="00763CF2" w:rsidRPr="00763CF2" w:rsidRDefault="00763CF2" w:rsidP="00B81091">
            <w:pPr>
              <w:keepNext/>
              <w:keepLines/>
              <w:jc w:val="center"/>
              <w:cnfStyle w:val="000000010000" w:firstRow="0" w:lastRow="0" w:firstColumn="0" w:lastColumn="0" w:oddVBand="0" w:evenVBand="0" w:oddHBand="0" w:evenHBand="1" w:firstRowFirstColumn="0" w:firstRowLastColumn="0" w:lastRowFirstColumn="0" w:lastRowLastColumn="0"/>
              <w:rPr>
                <w:rFonts w:ascii="Arial" w:eastAsia="Arial" w:hAnsi="Arial" w:cs="Arial"/>
                <w:szCs w:val="20"/>
              </w:rPr>
            </w:pPr>
            <w:r>
              <w:rPr>
                <w:rFonts w:ascii="Arial" w:hAnsi="Arial"/>
                <w:szCs w:val="20"/>
              </w:rPr>
              <w:t>01/nov./2016</w:t>
            </w:r>
          </w:p>
        </w:tc>
        <w:tc>
          <w:tcPr>
            <w:tcW w:w="5022" w:type="dxa"/>
            <w:vAlign w:val="center"/>
          </w:tcPr>
          <w:p w14:paraId="720A39CF" w14:textId="24F7023C" w:rsidR="00763CF2" w:rsidRPr="00763CF2" w:rsidRDefault="00763CF2" w:rsidP="00B81091">
            <w:pPr>
              <w:keepNext/>
              <w:keepLines/>
              <w:jc w:val="center"/>
              <w:cnfStyle w:val="000000010000" w:firstRow="0" w:lastRow="0" w:firstColumn="0" w:lastColumn="0" w:oddVBand="0" w:evenVBand="0" w:oddHBand="0" w:evenHBand="1" w:firstRowFirstColumn="0" w:firstRowLastColumn="0" w:lastRowFirstColumn="0" w:lastRowLastColumn="0"/>
              <w:rPr>
                <w:rFonts w:ascii="Arial" w:eastAsia="Arial" w:hAnsi="Arial" w:cs="Arial"/>
                <w:szCs w:val="20"/>
              </w:rPr>
            </w:pPr>
            <w:r>
              <w:rPr>
                <w:rFonts w:ascii="Arial" w:hAnsi="Arial"/>
                <w:szCs w:val="20"/>
              </w:rPr>
              <w:t>22/feb./2022</w:t>
            </w:r>
          </w:p>
        </w:tc>
      </w:tr>
      <w:tr w:rsidR="00763CF2" w:rsidRPr="00763CF2" w14:paraId="6B47D5D3" w14:textId="77777777" w:rsidTr="00E43E9B">
        <w:trPr>
          <w:trHeight w:val="300"/>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1B67A79F" w14:textId="77777777" w:rsidR="00763CF2" w:rsidRPr="00763CF2" w:rsidRDefault="00763CF2" w:rsidP="00B81091">
            <w:pPr>
              <w:keepNext/>
              <w:keepLines/>
              <w:jc w:val="center"/>
              <w:rPr>
                <w:rFonts w:ascii="Arial" w:eastAsia="Arial" w:hAnsi="Arial" w:cs="Arial"/>
                <w:szCs w:val="20"/>
              </w:rPr>
            </w:pPr>
            <w:r>
              <w:rPr>
                <w:rFonts w:ascii="Arial" w:hAnsi="Arial"/>
                <w:szCs w:val="20"/>
              </w:rPr>
              <w:t xml:space="preserve">Ciudad de </w:t>
            </w:r>
            <w:proofErr w:type="spellStart"/>
            <w:r>
              <w:rPr>
                <w:rFonts w:ascii="Arial" w:hAnsi="Arial"/>
                <w:szCs w:val="20"/>
              </w:rPr>
              <w:t>Beaverton</w:t>
            </w:r>
            <w:proofErr w:type="spellEnd"/>
          </w:p>
        </w:tc>
        <w:tc>
          <w:tcPr>
            <w:tcW w:w="1843" w:type="dxa"/>
            <w:vAlign w:val="center"/>
          </w:tcPr>
          <w:p w14:paraId="72962CC4" w14:textId="331D84E6" w:rsidR="00763CF2" w:rsidRPr="00763CF2" w:rsidRDefault="00763CF2" w:rsidP="00B81091">
            <w:pPr>
              <w:keepNext/>
              <w:keepLines/>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hAnsi="Arial"/>
                <w:szCs w:val="20"/>
              </w:rPr>
              <w:t>01/ene./2020</w:t>
            </w:r>
          </w:p>
        </w:tc>
        <w:tc>
          <w:tcPr>
            <w:tcW w:w="5022" w:type="dxa"/>
            <w:vAlign w:val="center"/>
          </w:tcPr>
          <w:p w14:paraId="06404947" w14:textId="0E804D60" w:rsidR="00763CF2" w:rsidRPr="00763CF2" w:rsidRDefault="00763CF2" w:rsidP="00B81091">
            <w:pPr>
              <w:keepNext/>
              <w:keepLines/>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hAnsi="Arial"/>
                <w:szCs w:val="20"/>
              </w:rPr>
              <w:t>22/feb./2022</w:t>
            </w:r>
          </w:p>
        </w:tc>
      </w:tr>
      <w:tr w:rsidR="00763CF2" w:rsidRPr="00763CF2" w14:paraId="08B68C4D" w14:textId="77777777" w:rsidTr="00E43E9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3DE2DFDC" w14:textId="77777777" w:rsidR="00763CF2" w:rsidRPr="00763CF2" w:rsidRDefault="00763CF2" w:rsidP="00B81091">
            <w:pPr>
              <w:keepNext/>
              <w:keepLines/>
              <w:jc w:val="center"/>
              <w:rPr>
                <w:rFonts w:ascii="Arial" w:eastAsia="Arial" w:hAnsi="Arial" w:cs="Arial"/>
                <w:szCs w:val="20"/>
              </w:rPr>
            </w:pPr>
            <w:r>
              <w:rPr>
                <w:rFonts w:ascii="Arial" w:hAnsi="Arial"/>
                <w:szCs w:val="20"/>
              </w:rPr>
              <w:t>Ciudades de Cornelius y Forest Grove</w:t>
            </w:r>
          </w:p>
        </w:tc>
        <w:tc>
          <w:tcPr>
            <w:tcW w:w="1843" w:type="dxa"/>
            <w:vAlign w:val="center"/>
          </w:tcPr>
          <w:p w14:paraId="43B2DD74" w14:textId="6B252796" w:rsidR="00763CF2" w:rsidRPr="00763CF2" w:rsidRDefault="00763CF2" w:rsidP="00B81091">
            <w:pPr>
              <w:keepNext/>
              <w:keepLines/>
              <w:jc w:val="center"/>
              <w:cnfStyle w:val="000000010000" w:firstRow="0" w:lastRow="0" w:firstColumn="0" w:lastColumn="0" w:oddVBand="0" w:evenVBand="0" w:oddHBand="0" w:evenHBand="1" w:firstRowFirstColumn="0" w:firstRowLastColumn="0" w:lastRowFirstColumn="0" w:lastRowLastColumn="0"/>
              <w:rPr>
                <w:rFonts w:ascii="Arial" w:eastAsia="Arial" w:hAnsi="Arial" w:cs="Arial"/>
                <w:szCs w:val="20"/>
              </w:rPr>
            </w:pPr>
            <w:r>
              <w:rPr>
                <w:rFonts w:ascii="Arial" w:hAnsi="Arial"/>
                <w:szCs w:val="20"/>
              </w:rPr>
              <w:t>01/sep./2011</w:t>
            </w:r>
          </w:p>
        </w:tc>
        <w:tc>
          <w:tcPr>
            <w:tcW w:w="5022" w:type="dxa"/>
            <w:vAlign w:val="center"/>
          </w:tcPr>
          <w:p w14:paraId="3FE67F83" w14:textId="0B6CA789" w:rsidR="00763CF2" w:rsidRPr="00763CF2" w:rsidRDefault="00763CF2" w:rsidP="00B81091">
            <w:pPr>
              <w:keepNext/>
              <w:keepLines/>
              <w:jc w:val="center"/>
              <w:cnfStyle w:val="000000010000" w:firstRow="0" w:lastRow="0" w:firstColumn="0" w:lastColumn="0" w:oddVBand="0" w:evenVBand="0" w:oddHBand="0" w:evenHBand="1" w:firstRowFirstColumn="0" w:firstRowLastColumn="0" w:lastRowFirstColumn="0" w:lastRowLastColumn="0"/>
              <w:rPr>
                <w:rFonts w:ascii="Arial" w:eastAsia="Arial" w:hAnsi="Arial" w:cs="Arial"/>
                <w:szCs w:val="20"/>
              </w:rPr>
            </w:pPr>
            <w:r>
              <w:rPr>
                <w:rFonts w:ascii="Arial" w:hAnsi="Arial"/>
                <w:szCs w:val="20"/>
              </w:rPr>
              <w:t>22/feb./2022</w:t>
            </w:r>
          </w:p>
        </w:tc>
      </w:tr>
      <w:tr w:rsidR="00763CF2" w:rsidRPr="00763CF2" w14:paraId="47DE5135" w14:textId="77777777" w:rsidTr="00E43E9B">
        <w:trPr>
          <w:trHeight w:val="300"/>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5E3112EE" w14:textId="77777777" w:rsidR="00763CF2" w:rsidRPr="00763CF2" w:rsidRDefault="00763CF2" w:rsidP="00B81091">
            <w:pPr>
              <w:jc w:val="center"/>
              <w:rPr>
                <w:rFonts w:ascii="Arial" w:eastAsia="Arial" w:hAnsi="Arial" w:cs="Arial"/>
                <w:szCs w:val="20"/>
              </w:rPr>
            </w:pPr>
            <w:r>
              <w:rPr>
                <w:rFonts w:ascii="Arial" w:hAnsi="Arial"/>
                <w:szCs w:val="20"/>
              </w:rPr>
              <w:t>Todos los demás participantes</w:t>
            </w:r>
          </w:p>
        </w:tc>
        <w:tc>
          <w:tcPr>
            <w:tcW w:w="1843" w:type="dxa"/>
            <w:vAlign w:val="center"/>
          </w:tcPr>
          <w:p w14:paraId="1BB00DB4" w14:textId="77777777" w:rsidR="00763CF2" w:rsidRPr="00763CF2" w:rsidRDefault="00763CF2" w:rsidP="00B8109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hAnsi="Arial"/>
                <w:szCs w:val="20"/>
              </w:rPr>
              <w:t>La fecha más anterior posible</w:t>
            </w:r>
          </w:p>
        </w:tc>
        <w:tc>
          <w:tcPr>
            <w:tcW w:w="5022" w:type="dxa"/>
            <w:vAlign w:val="center"/>
          </w:tcPr>
          <w:p w14:paraId="4C0A72AE" w14:textId="6263DC34" w:rsidR="00763CF2" w:rsidRPr="00763CF2" w:rsidRDefault="00763CF2" w:rsidP="00B8109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hAnsi="Arial"/>
                <w:szCs w:val="20"/>
              </w:rPr>
              <w:t>22/feb./2022</w:t>
            </w:r>
          </w:p>
        </w:tc>
      </w:tr>
    </w:tbl>
    <w:p w14:paraId="36DE297C" w14:textId="77777777" w:rsidR="00763CF2" w:rsidRPr="00763CF2" w:rsidRDefault="00763CF2" w:rsidP="00B81091">
      <w:pPr>
        <w:spacing w:after="0" w:line="240" w:lineRule="auto"/>
        <w:rPr>
          <w:rFonts w:ascii="Arial" w:hAnsi="Arial"/>
          <w:sz w:val="20"/>
          <w:szCs w:val="24"/>
        </w:rPr>
      </w:pPr>
    </w:p>
    <w:p w14:paraId="03EA3B9D" w14:textId="4DFCF7A9" w:rsidR="00763CF2" w:rsidRPr="00763CF2" w:rsidRDefault="00763CF2" w:rsidP="00B81091">
      <w:pPr>
        <w:spacing w:after="0" w:line="240" w:lineRule="auto"/>
        <w:rPr>
          <w:rFonts w:ascii="Arial" w:hAnsi="Arial"/>
          <w:sz w:val="20"/>
          <w:szCs w:val="24"/>
        </w:rPr>
      </w:pPr>
      <w:r>
        <w:rPr>
          <w:rFonts w:ascii="Arial" w:hAnsi="Arial"/>
          <w:sz w:val="20"/>
          <w:szCs w:val="24"/>
        </w:rPr>
        <w:t xml:space="preserve">El formato de este plan, que se presenta en tres volúmenes, está diseñado para ser fuente de toda la información sobre las amenazas que sea fácil de usar para los participantes. </w:t>
      </w:r>
    </w:p>
    <w:p w14:paraId="4BFDA70A" w14:textId="77777777" w:rsidR="00763CF2" w:rsidRPr="00763CF2" w:rsidRDefault="00763CF2" w:rsidP="00B81091">
      <w:pPr>
        <w:tabs>
          <w:tab w:val="num" w:pos="720"/>
        </w:tabs>
        <w:spacing w:before="120" w:after="0" w:line="240" w:lineRule="auto"/>
        <w:ind w:left="720" w:hanging="360"/>
        <w:rPr>
          <w:rFonts w:ascii="Arial" w:hAnsi="Arial"/>
          <w:sz w:val="20"/>
          <w:szCs w:val="24"/>
        </w:rPr>
      </w:pPr>
      <w:r>
        <w:rPr>
          <w:rFonts w:ascii="Arial" w:hAnsi="Arial"/>
          <w:sz w:val="20"/>
          <w:szCs w:val="24"/>
        </w:rPr>
        <w:t xml:space="preserve">Volumen I: </w:t>
      </w:r>
    </w:p>
    <w:p w14:paraId="5CFDFC87" w14:textId="77777777" w:rsidR="00763CF2" w:rsidRPr="00FC636D" w:rsidRDefault="15CF04FA" w:rsidP="00B81091">
      <w:pPr>
        <w:pStyle w:val="ListParagraph"/>
        <w:numPr>
          <w:ilvl w:val="0"/>
          <w:numId w:val="1"/>
        </w:numPr>
        <w:tabs>
          <w:tab w:val="num" w:pos="1080"/>
        </w:tabs>
        <w:spacing w:before="120" w:after="0" w:line="240" w:lineRule="auto"/>
        <w:rPr>
          <w:rFonts w:ascii="Arial" w:hAnsi="Arial"/>
          <w:sz w:val="20"/>
          <w:szCs w:val="20"/>
        </w:rPr>
      </w:pPr>
      <w:r>
        <w:rPr>
          <w:rFonts w:ascii="Arial" w:hAnsi="Arial"/>
          <w:sz w:val="20"/>
          <w:szCs w:val="20"/>
        </w:rPr>
        <w:t>Promulgación</w:t>
      </w:r>
    </w:p>
    <w:p w14:paraId="16CDB557" w14:textId="77777777" w:rsidR="00763CF2" w:rsidRPr="00FC636D" w:rsidRDefault="00763CF2" w:rsidP="00B81091">
      <w:pPr>
        <w:pStyle w:val="ListParagraph"/>
        <w:numPr>
          <w:ilvl w:val="0"/>
          <w:numId w:val="1"/>
        </w:numPr>
        <w:tabs>
          <w:tab w:val="num" w:pos="1080"/>
        </w:tabs>
        <w:spacing w:before="120" w:after="0" w:line="240" w:lineRule="auto"/>
        <w:rPr>
          <w:rFonts w:ascii="Arial" w:hAnsi="Arial"/>
          <w:sz w:val="20"/>
          <w:szCs w:val="24"/>
        </w:rPr>
      </w:pPr>
      <w:r>
        <w:rPr>
          <w:rFonts w:ascii="Arial" w:hAnsi="Arial"/>
          <w:sz w:val="20"/>
          <w:szCs w:val="24"/>
        </w:rPr>
        <w:t>Registro de distribución</w:t>
      </w:r>
    </w:p>
    <w:p w14:paraId="6CB28C77" w14:textId="77777777" w:rsidR="00763CF2" w:rsidRPr="00FC636D" w:rsidRDefault="00763CF2" w:rsidP="00B81091">
      <w:pPr>
        <w:pStyle w:val="ListParagraph"/>
        <w:numPr>
          <w:ilvl w:val="0"/>
          <w:numId w:val="1"/>
        </w:numPr>
        <w:tabs>
          <w:tab w:val="num" w:pos="1080"/>
        </w:tabs>
        <w:spacing w:before="120" w:after="0" w:line="240" w:lineRule="auto"/>
        <w:rPr>
          <w:rFonts w:ascii="Arial" w:hAnsi="Arial"/>
          <w:sz w:val="20"/>
          <w:szCs w:val="24"/>
        </w:rPr>
      </w:pPr>
      <w:r>
        <w:rPr>
          <w:rFonts w:ascii="Arial" w:hAnsi="Arial"/>
          <w:sz w:val="20"/>
          <w:szCs w:val="24"/>
        </w:rPr>
        <w:t>Registro de cambios</w:t>
      </w:r>
    </w:p>
    <w:p w14:paraId="18C3A479" w14:textId="77777777" w:rsidR="00763CF2" w:rsidRPr="00FC636D" w:rsidRDefault="00763CF2" w:rsidP="00B81091">
      <w:pPr>
        <w:pStyle w:val="ListParagraph"/>
        <w:numPr>
          <w:ilvl w:val="0"/>
          <w:numId w:val="1"/>
        </w:numPr>
        <w:tabs>
          <w:tab w:val="num" w:pos="1080"/>
        </w:tabs>
        <w:spacing w:before="120" w:after="0" w:line="240" w:lineRule="auto"/>
        <w:rPr>
          <w:rFonts w:ascii="Arial" w:hAnsi="Arial"/>
          <w:sz w:val="20"/>
          <w:szCs w:val="24"/>
        </w:rPr>
      </w:pPr>
      <w:r>
        <w:rPr>
          <w:rFonts w:ascii="Arial" w:hAnsi="Arial"/>
          <w:sz w:val="20"/>
          <w:szCs w:val="24"/>
        </w:rPr>
        <w:t>Resumen ejecutivo</w:t>
      </w:r>
    </w:p>
    <w:p w14:paraId="24897785" w14:textId="77777777" w:rsidR="00763CF2" w:rsidRPr="00FC636D" w:rsidRDefault="00763CF2" w:rsidP="00B81091">
      <w:pPr>
        <w:pStyle w:val="ListParagraph"/>
        <w:numPr>
          <w:ilvl w:val="0"/>
          <w:numId w:val="1"/>
        </w:numPr>
        <w:tabs>
          <w:tab w:val="num" w:pos="1080"/>
        </w:tabs>
        <w:spacing w:before="120" w:after="0" w:line="240" w:lineRule="auto"/>
        <w:rPr>
          <w:rFonts w:ascii="Arial" w:hAnsi="Arial"/>
          <w:sz w:val="20"/>
          <w:szCs w:val="24"/>
        </w:rPr>
      </w:pPr>
      <w:r>
        <w:rPr>
          <w:rFonts w:ascii="Arial" w:hAnsi="Arial"/>
          <w:sz w:val="20"/>
          <w:szCs w:val="24"/>
        </w:rPr>
        <w:t xml:space="preserve">Siglas y abreviaturas </w:t>
      </w:r>
    </w:p>
    <w:p w14:paraId="48BB00AF" w14:textId="77777777" w:rsidR="00763CF2" w:rsidRPr="00FC636D" w:rsidRDefault="00763CF2" w:rsidP="00B81091">
      <w:pPr>
        <w:pStyle w:val="ListParagraph"/>
        <w:numPr>
          <w:ilvl w:val="0"/>
          <w:numId w:val="1"/>
        </w:numPr>
        <w:tabs>
          <w:tab w:val="num" w:pos="1080"/>
        </w:tabs>
        <w:spacing w:before="120" w:after="0" w:line="240" w:lineRule="auto"/>
        <w:rPr>
          <w:rFonts w:ascii="Arial" w:hAnsi="Arial"/>
          <w:sz w:val="20"/>
          <w:szCs w:val="24"/>
        </w:rPr>
      </w:pPr>
      <w:r>
        <w:rPr>
          <w:rFonts w:ascii="Arial" w:hAnsi="Arial"/>
          <w:sz w:val="20"/>
          <w:szCs w:val="24"/>
        </w:rPr>
        <w:t>Índice</w:t>
      </w:r>
    </w:p>
    <w:p w14:paraId="49160B78" w14:textId="77777777" w:rsidR="00763CF2" w:rsidRPr="00FC636D" w:rsidRDefault="00763CF2" w:rsidP="00B81091">
      <w:pPr>
        <w:pStyle w:val="ListParagraph"/>
        <w:numPr>
          <w:ilvl w:val="0"/>
          <w:numId w:val="1"/>
        </w:numPr>
        <w:tabs>
          <w:tab w:val="num" w:pos="1080"/>
        </w:tabs>
        <w:spacing w:before="120" w:after="0" w:line="240" w:lineRule="auto"/>
        <w:rPr>
          <w:rFonts w:ascii="Arial" w:hAnsi="Arial"/>
          <w:sz w:val="20"/>
          <w:szCs w:val="24"/>
        </w:rPr>
      </w:pPr>
      <w:r>
        <w:rPr>
          <w:rFonts w:ascii="Arial" w:hAnsi="Arial"/>
          <w:sz w:val="20"/>
          <w:szCs w:val="24"/>
        </w:rPr>
        <w:t>Sección 1: Introducción</w:t>
      </w:r>
    </w:p>
    <w:p w14:paraId="6DC2E8E3" w14:textId="77777777" w:rsidR="00763CF2" w:rsidRPr="00FC636D" w:rsidRDefault="00763CF2" w:rsidP="00B81091">
      <w:pPr>
        <w:pStyle w:val="ListParagraph"/>
        <w:numPr>
          <w:ilvl w:val="0"/>
          <w:numId w:val="1"/>
        </w:numPr>
        <w:tabs>
          <w:tab w:val="num" w:pos="1080"/>
        </w:tabs>
        <w:spacing w:before="120" w:after="0" w:line="240" w:lineRule="auto"/>
        <w:rPr>
          <w:rFonts w:ascii="Arial" w:hAnsi="Arial"/>
          <w:sz w:val="20"/>
          <w:szCs w:val="24"/>
        </w:rPr>
      </w:pPr>
      <w:r>
        <w:rPr>
          <w:rFonts w:ascii="Arial" w:hAnsi="Arial"/>
          <w:sz w:val="20"/>
          <w:szCs w:val="24"/>
        </w:rPr>
        <w:t>Sección 2: Identificación de amenazas y evaluación de riesgos</w:t>
      </w:r>
    </w:p>
    <w:p w14:paraId="696D34B0" w14:textId="77777777" w:rsidR="00763CF2" w:rsidRPr="00FC636D" w:rsidRDefault="00763CF2" w:rsidP="00B81091">
      <w:pPr>
        <w:pStyle w:val="ListParagraph"/>
        <w:numPr>
          <w:ilvl w:val="0"/>
          <w:numId w:val="1"/>
        </w:numPr>
        <w:tabs>
          <w:tab w:val="num" w:pos="1080"/>
        </w:tabs>
        <w:spacing w:before="120" w:after="0" w:line="240" w:lineRule="auto"/>
        <w:rPr>
          <w:rFonts w:ascii="Arial" w:hAnsi="Arial"/>
          <w:sz w:val="20"/>
          <w:szCs w:val="24"/>
        </w:rPr>
      </w:pPr>
      <w:r>
        <w:rPr>
          <w:rFonts w:ascii="Arial" w:hAnsi="Arial"/>
          <w:sz w:val="20"/>
          <w:szCs w:val="24"/>
        </w:rPr>
        <w:t>Sección 3: Estrategia de mitigación</w:t>
      </w:r>
    </w:p>
    <w:p w14:paraId="1D8B3741" w14:textId="77777777" w:rsidR="00763CF2" w:rsidRPr="00FC636D" w:rsidRDefault="00763CF2" w:rsidP="00B81091">
      <w:pPr>
        <w:pStyle w:val="ListParagraph"/>
        <w:numPr>
          <w:ilvl w:val="0"/>
          <w:numId w:val="1"/>
        </w:numPr>
        <w:tabs>
          <w:tab w:val="num" w:pos="1080"/>
        </w:tabs>
        <w:spacing w:before="120" w:after="0" w:line="240" w:lineRule="auto"/>
        <w:rPr>
          <w:rFonts w:ascii="Arial" w:hAnsi="Arial"/>
          <w:sz w:val="20"/>
          <w:szCs w:val="24"/>
        </w:rPr>
      </w:pPr>
      <w:r>
        <w:rPr>
          <w:rFonts w:ascii="Arial" w:hAnsi="Arial"/>
          <w:sz w:val="20"/>
          <w:szCs w:val="24"/>
        </w:rPr>
        <w:t>Sección 4: Ejecución, mantenimiento y aprobación del plan</w:t>
      </w:r>
    </w:p>
    <w:p w14:paraId="00D38100" w14:textId="77777777" w:rsidR="00763CF2" w:rsidRPr="00763CF2" w:rsidRDefault="00763CF2" w:rsidP="00B81091">
      <w:pPr>
        <w:tabs>
          <w:tab w:val="num" w:pos="720"/>
        </w:tabs>
        <w:spacing w:before="120" w:after="0" w:line="240" w:lineRule="auto"/>
        <w:ind w:left="720" w:hanging="360"/>
        <w:rPr>
          <w:rFonts w:ascii="Arial" w:hAnsi="Arial"/>
          <w:sz w:val="20"/>
          <w:szCs w:val="24"/>
        </w:rPr>
      </w:pPr>
      <w:r>
        <w:rPr>
          <w:rFonts w:ascii="Arial" w:hAnsi="Arial"/>
          <w:sz w:val="20"/>
          <w:szCs w:val="24"/>
        </w:rPr>
        <w:t>Volumen II:</w:t>
      </w:r>
    </w:p>
    <w:p w14:paraId="4D087BF2" w14:textId="77777777" w:rsidR="00763CF2" w:rsidRPr="00FC636D" w:rsidRDefault="00763CF2" w:rsidP="00B81091">
      <w:pPr>
        <w:pStyle w:val="ListParagraph"/>
        <w:numPr>
          <w:ilvl w:val="0"/>
          <w:numId w:val="1"/>
        </w:numPr>
        <w:tabs>
          <w:tab w:val="num" w:pos="1080"/>
        </w:tabs>
        <w:spacing w:before="120" w:after="0" w:line="240" w:lineRule="auto"/>
        <w:rPr>
          <w:rFonts w:ascii="Arial" w:hAnsi="Arial"/>
          <w:sz w:val="20"/>
          <w:szCs w:val="24"/>
        </w:rPr>
      </w:pPr>
      <w:r>
        <w:rPr>
          <w:rFonts w:ascii="Arial" w:hAnsi="Arial"/>
          <w:sz w:val="20"/>
          <w:szCs w:val="24"/>
        </w:rPr>
        <w:t>Índice</w:t>
      </w:r>
    </w:p>
    <w:p w14:paraId="5987CD6D" w14:textId="77777777" w:rsidR="00763CF2" w:rsidRPr="00FC636D" w:rsidRDefault="00763CF2" w:rsidP="00B81091">
      <w:pPr>
        <w:pStyle w:val="ListParagraph"/>
        <w:numPr>
          <w:ilvl w:val="0"/>
          <w:numId w:val="1"/>
        </w:numPr>
        <w:tabs>
          <w:tab w:val="num" w:pos="1080"/>
        </w:tabs>
        <w:spacing w:before="120" w:after="0" w:line="240" w:lineRule="auto"/>
        <w:rPr>
          <w:rFonts w:ascii="Arial" w:hAnsi="Arial"/>
          <w:sz w:val="20"/>
          <w:szCs w:val="24"/>
        </w:rPr>
      </w:pPr>
      <w:r>
        <w:rPr>
          <w:rFonts w:ascii="Arial" w:hAnsi="Arial"/>
          <w:sz w:val="20"/>
          <w:szCs w:val="24"/>
        </w:rPr>
        <w:t>Anexos de los participantes de la planificación:</w:t>
      </w:r>
    </w:p>
    <w:p w14:paraId="49E0C416" w14:textId="77777777" w:rsidR="00763CF2" w:rsidRPr="00FC636D" w:rsidRDefault="00763CF2" w:rsidP="00B81091">
      <w:pPr>
        <w:pStyle w:val="ListParagraph"/>
        <w:numPr>
          <w:ilvl w:val="1"/>
          <w:numId w:val="1"/>
        </w:numPr>
        <w:tabs>
          <w:tab w:val="num" w:pos="1440"/>
        </w:tabs>
        <w:spacing w:before="120" w:after="0" w:line="240" w:lineRule="auto"/>
        <w:rPr>
          <w:rFonts w:ascii="Arial" w:hAnsi="Arial"/>
          <w:sz w:val="20"/>
          <w:szCs w:val="24"/>
        </w:rPr>
      </w:pPr>
      <w:r>
        <w:rPr>
          <w:rFonts w:ascii="Arial" w:hAnsi="Arial"/>
          <w:sz w:val="20"/>
          <w:szCs w:val="24"/>
        </w:rPr>
        <w:t xml:space="preserve">Anexo A: Ciudad de </w:t>
      </w:r>
      <w:proofErr w:type="spellStart"/>
      <w:r>
        <w:rPr>
          <w:rFonts w:ascii="Arial" w:hAnsi="Arial"/>
          <w:sz w:val="20"/>
          <w:szCs w:val="24"/>
        </w:rPr>
        <w:t>Beaverton</w:t>
      </w:r>
      <w:proofErr w:type="spellEnd"/>
    </w:p>
    <w:p w14:paraId="4ECF52A3" w14:textId="77777777" w:rsidR="00763CF2" w:rsidRPr="00FC636D" w:rsidRDefault="00763CF2" w:rsidP="00B81091">
      <w:pPr>
        <w:pStyle w:val="ListParagraph"/>
        <w:numPr>
          <w:ilvl w:val="1"/>
          <w:numId w:val="1"/>
        </w:numPr>
        <w:tabs>
          <w:tab w:val="num" w:pos="1440"/>
        </w:tabs>
        <w:spacing w:before="120" w:after="0" w:line="240" w:lineRule="auto"/>
        <w:rPr>
          <w:rFonts w:ascii="Arial" w:hAnsi="Arial"/>
          <w:sz w:val="20"/>
          <w:szCs w:val="24"/>
        </w:rPr>
      </w:pPr>
      <w:r>
        <w:rPr>
          <w:rFonts w:ascii="Arial" w:hAnsi="Arial"/>
          <w:sz w:val="20"/>
          <w:szCs w:val="24"/>
        </w:rPr>
        <w:t>Anexo B: Ciudad de Cornelius</w:t>
      </w:r>
    </w:p>
    <w:p w14:paraId="02A21E78" w14:textId="77777777" w:rsidR="00763CF2" w:rsidRPr="00FC636D" w:rsidRDefault="00763CF2" w:rsidP="00B81091">
      <w:pPr>
        <w:pStyle w:val="ListParagraph"/>
        <w:numPr>
          <w:ilvl w:val="1"/>
          <w:numId w:val="1"/>
        </w:numPr>
        <w:tabs>
          <w:tab w:val="num" w:pos="1440"/>
        </w:tabs>
        <w:spacing w:before="120" w:after="0" w:line="240" w:lineRule="auto"/>
        <w:rPr>
          <w:rFonts w:ascii="Arial" w:hAnsi="Arial"/>
          <w:sz w:val="20"/>
          <w:szCs w:val="24"/>
        </w:rPr>
      </w:pPr>
      <w:r>
        <w:rPr>
          <w:rFonts w:ascii="Arial" w:hAnsi="Arial"/>
          <w:sz w:val="20"/>
          <w:szCs w:val="24"/>
        </w:rPr>
        <w:t>Anexo C: Ciudad de Forest Grove</w:t>
      </w:r>
    </w:p>
    <w:p w14:paraId="2077A09C" w14:textId="77777777" w:rsidR="00763CF2" w:rsidRPr="00FC636D" w:rsidRDefault="00763CF2" w:rsidP="00B81091">
      <w:pPr>
        <w:pStyle w:val="ListParagraph"/>
        <w:numPr>
          <w:ilvl w:val="1"/>
          <w:numId w:val="1"/>
        </w:numPr>
        <w:tabs>
          <w:tab w:val="num" w:pos="1440"/>
        </w:tabs>
        <w:spacing w:before="120" w:after="0" w:line="240" w:lineRule="auto"/>
        <w:rPr>
          <w:rFonts w:ascii="Arial" w:hAnsi="Arial"/>
          <w:sz w:val="20"/>
          <w:szCs w:val="24"/>
        </w:rPr>
      </w:pPr>
      <w:r>
        <w:rPr>
          <w:rFonts w:ascii="Arial" w:hAnsi="Arial"/>
          <w:sz w:val="20"/>
          <w:szCs w:val="24"/>
        </w:rPr>
        <w:t>Anexo D: Ciudad de Hillsboro</w:t>
      </w:r>
    </w:p>
    <w:p w14:paraId="2859514D" w14:textId="77777777" w:rsidR="00763CF2" w:rsidRPr="00FC636D" w:rsidRDefault="00763CF2" w:rsidP="00B81091">
      <w:pPr>
        <w:pStyle w:val="ListParagraph"/>
        <w:numPr>
          <w:ilvl w:val="1"/>
          <w:numId w:val="1"/>
        </w:numPr>
        <w:tabs>
          <w:tab w:val="num" w:pos="1440"/>
        </w:tabs>
        <w:spacing w:before="120" w:after="0" w:line="240" w:lineRule="auto"/>
        <w:rPr>
          <w:rFonts w:ascii="Arial" w:hAnsi="Arial"/>
          <w:sz w:val="20"/>
          <w:szCs w:val="24"/>
        </w:rPr>
      </w:pPr>
      <w:r>
        <w:rPr>
          <w:rFonts w:ascii="Arial" w:hAnsi="Arial"/>
          <w:sz w:val="20"/>
          <w:szCs w:val="24"/>
        </w:rPr>
        <w:t>Anexo E: Ciudad de North Plains</w:t>
      </w:r>
    </w:p>
    <w:p w14:paraId="0590AC2D" w14:textId="77777777" w:rsidR="00763CF2" w:rsidRPr="00FC636D" w:rsidRDefault="00763CF2" w:rsidP="00B81091">
      <w:pPr>
        <w:pStyle w:val="ListParagraph"/>
        <w:numPr>
          <w:ilvl w:val="1"/>
          <w:numId w:val="1"/>
        </w:numPr>
        <w:tabs>
          <w:tab w:val="num" w:pos="1440"/>
        </w:tabs>
        <w:spacing w:before="120" w:after="0" w:line="240" w:lineRule="auto"/>
        <w:rPr>
          <w:rFonts w:ascii="Arial" w:hAnsi="Arial"/>
          <w:sz w:val="20"/>
          <w:szCs w:val="24"/>
        </w:rPr>
      </w:pPr>
      <w:r>
        <w:rPr>
          <w:rFonts w:ascii="Arial" w:hAnsi="Arial"/>
          <w:sz w:val="20"/>
          <w:szCs w:val="24"/>
        </w:rPr>
        <w:t>Anexo F: Ciudad de Sherwood</w:t>
      </w:r>
    </w:p>
    <w:p w14:paraId="1A29EC7A" w14:textId="77777777" w:rsidR="00763CF2" w:rsidRPr="00FC636D" w:rsidRDefault="00763CF2" w:rsidP="00B81091">
      <w:pPr>
        <w:pStyle w:val="ListParagraph"/>
        <w:numPr>
          <w:ilvl w:val="1"/>
          <w:numId w:val="1"/>
        </w:numPr>
        <w:tabs>
          <w:tab w:val="num" w:pos="1440"/>
        </w:tabs>
        <w:spacing w:before="120" w:after="0" w:line="240" w:lineRule="auto"/>
        <w:rPr>
          <w:rFonts w:ascii="Arial" w:hAnsi="Arial"/>
          <w:sz w:val="20"/>
          <w:szCs w:val="24"/>
        </w:rPr>
      </w:pPr>
      <w:r>
        <w:rPr>
          <w:rFonts w:ascii="Arial" w:hAnsi="Arial"/>
          <w:sz w:val="20"/>
          <w:szCs w:val="24"/>
        </w:rPr>
        <w:t xml:space="preserve">Anexo G: Ciudad de </w:t>
      </w:r>
      <w:proofErr w:type="spellStart"/>
      <w:r>
        <w:rPr>
          <w:rFonts w:ascii="Arial" w:hAnsi="Arial"/>
          <w:sz w:val="20"/>
          <w:szCs w:val="24"/>
        </w:rPr>
        <w:t>Tigard</w:t>
      </w:r>
      <w:proofErr w:type="spellEnd"/>
    </w:p>
    <w:p w14:paraId="5561CBA7" w14:textId="77777777" w:rsidR="00763CF2" w:rsidRPr="00FC636D" w:rsidRDefault="00763CF2" w:rsidP="00B81091">
      <w:pPr>
        <w:pStyle w:val="ListParagraph"/>
        <w:numPr>
          <w:ilvl w:val="1"/>
          <w:numId w:val="1"/>
        </w:numPr>
        <w:tabs>
          <w:tab w:val="num" w:pos="1440"/>
        </w:tabs>
        <w:spacing w:before="120" w:after="0" w:line="240" w:lineRule="auto"/>
        <w:rPr>
          <w:rFonts w:ascii="Arial" w:hAnsi="Arial"/>
          <w:sz w:val="20"/>
          <w:szCs w:val="24"/>
        </w:rPr>
      </w:pPr>
      <w:r>
        <w:rPr>
          <w:rFonts w:ascii="Arial" w:hAnsi="Arial"/>
          <w:sz w:val="20"/>
          <w:szCs w:val="24"/>
        </w:rPr>
        <w:t xml:space="preserve">Anexo H: </w:t>
      </w:r>
      <w:proofErr w:type="spellStart"/>
      <w:r>
        <w:rPr>
          <w:rFonts w:ascii="Arial" w:hAnsi="Arial"/>
          <w:sz w:val="20"/>
          <w:szCs w:val="24"/>
        </w:rPr>
        <w:t>Clean</w:t>
      </w:r>
      <w:proofErr w:type="spellEnd"/>
      <w:r>
        <w:rPr>
          <w:rFonts w:ascii="Arial" w:hAnsi="Arial"/>
          <w:sz w:val="20"/>
          <w:szCs w:val="24"/>
        </w:rPr>
        <w:t xml:space="preserve"> </w:t>
      </w:r>
      <w:proofErr w:type="spellStart"/>
      <w:r>
        <w:rPr>
          <w:rFonts w:ascii="Arial" w:hAnsi="Arial"/>
          <w:sz w:val="20"/>
          <w:szCs w:val="24"/>
        </w:rPr>
        <w:t>Water</w:t>
      </w:r>
      <w:proofErr w:type="spellEnd"/>
      <w:r>
        <w:rPr>
          <w:rFonts w:ascii="Arial" w:hAnsi="Arial"/>
          <w:sz w:val="20"/>
          <w:szCs w:val="24"/>
        </w:rPr>
        <w:t xml:space="preserve"> </w:t>
      </w:r>
      <w:proofErr w:type="spellStart"/>
      <w:r>
        <w:rPr>
          <w:rFonts w:ascii="Arial" w:hAnsi="Arial"/>
          <w:sz w:val="20"/>
          <w:szCs w:val="24"/>
        </w:rPr>
        <w:t>Services</w:t>
      </w:r>
      <w:proofErr w:type="spellEnd"/>
    </w:p>
    <w:p w14:paraId="23CE9C83" w14:textId="69395BDD" w:rsidR="00763CF2" w:rsidRPr="00BE628A" w:rsidRDefault="00763CF2" w:rsidP="00B81091">
      <w:pPr>
        <w:pStyle w:val="ListParagraph"/>
        <w:numPr>
          <w:ilvl w:val="1"/>
          <w:numId w:val="1"/>
        </w:numPr>
        <w:tabs>
          <w:tab w:val="num" w:pos="1440"/>
        </w:tabs>
        <w:spacing w:before="120" w:after="0" w:line="240" w:lineRule="auto"/>
        <w:rPr>
          <w:rFonts w:ascii="Arial" w:hAnsi="Arial"/>
          <w:sz w:val="20"/>
          <w:szCs w:val="24"/>
          <w:lang w:val="en-US"/>
        </w:rPr>
      </w:pPr>
      <w:r w:rsidRPr="00BE628A">
        <w:rPr>
          <w:rFonts w:ascii="Arial" w:hAnsi="Arial"/>
          <w:sz w:val="20"/>
          <w:szCs w:val="24"/>
          <w:lang w:val="en-US"/>
        </w:rPr>
        <w:t>Anexo I: Tualatin Hills Park &amp; Recreation District</w:t>
      </w:r>
    </w:p>
    <w:p w14:paraId="48571512" w14:textId="77777777" w:rsidR="00763CF2" w:rsidRPr="00BE628A" w:rsidRDefault="00763CF2" w:rsidP="00B81091">
      <w:pPr>
        <w:pStyle w:val="ListParagraph"/>
        <w:numPr>
          <w:ilvl w:val="1"/>
          <w:numId w:val="1"/>
        </w:numPr>
        <w:tabs>
          <w:tab w:val="num" w:pos="1440"/>
        </w:tabs>
        <w:spacing w:before="120" w:after="0" w:line="240" w:lineRule="auto"/>
        <w:rPr>
          <w:rFonts w:ascii="Arial" w:hAnsi="Arial"/>
          <w:sz w:val="20"/>
          <w:szCs w:val="24"/>
          <w:lang w:val="en-US"/>
        </w:rPr>
      </w:pPr>
      <w:r w:rsidRPr="00BE628A">
        <w:rPr>
          <w:rFonts w:ascii="Arial" w:hAnsi="Arial"/>
          <w:sz w:val="20"/>
          <w:szCs w:val="24"/>
          <w:lang w:val="en-US"/>
        </w:rPr>
        <w:t>Anexo J: Tualatin Valley Water District</w:t>
      </w:r>
    </w:p>
    <w:p w14:paraId="4FD03851" w14:textId="77777777" w:rsidR="00763CF2" w:rsidRPr="00FC636D" w:rsidRDefault="00763CF2" w:rsidP="00B81091">
      <w:pPr>
        <w:pStyle w:val="ListParagraph"/>
        <w:numPr>
          <w:ilvl w:val="1"/>
          <w:numId w:val="1"/>
        </w:numPr>
        <w:tabs>
          <w:tab w:val="num" w:pos="1440"/>
        </w:tabs>
        <w:spacing w:before="120" w:after="0" w:line="240" w:lineRule="auto"/>
        <w:rPr>
          <w:rFonts w:ascii="Arial" w:hAnsi="Arial"/>
          <w:sz w:val="20"/>
          <w:szCs w:val="24"/>
        </w:rPr>
      </w:pPr>
      <w:r>
        <w:rPr>
          <w:rFonts w:ascii="Arial" w:hAnsi="Arial"/>
          <w:sz w:val="20"/>
          <w:szCs w:val="24"/>
        </w:rPr>
        <w:t>Anexo K: Condado de Washington</w:t>
      </w:r>
    </w:p>
    <w:p w14:paraId="4ECCCF53" w14:textId="77777777" w:rsidR="00B81091" w:rsidRDefault="00B81091" w:rsidP="00B81091">
      <w:pPr>
        <w:tabs>
          <w:tab w:val="num" w:pos="720"/>
        </w:tabs>
        <w:spacing w:before="120" w:after="0" w:line="240" w:lineRule="auto"/>
        <w:ind w:left="720" w:hanging="360"/>
        <w:rPr>
          <w:rFonts w:ascii="Arial" w:hAnsi="Arial"/>
          <w:sz w:val="20"/>
          <w:szCs w:val="24"/>
        </w:rPr>
      </w:pPr>
    </w:p>
    <w:p w14:paraId="020D6108" w14:textId="2F183598" w:rsidR="00763CF2" w:rsidRPr="00763CF2" w:rsidRDefault="00763CF2" w:rsidP="00B81091">
      <w:pPr>
        <w:tabs>
          <w:tab w:val="num" w:pos="720"/>
        </w:tabs>
        <w:spacing w:before="120" w:after="0" w:line="240" w:lineRule="auto"/>
        <w:ind w:left="720" w:hanging="360"/>
        <w:rPr>
          <w:rFonts w:ascii="Arial" w:hAnsi="Arial"/>
          <w:sz w:val="20"/>
          <w:szCs w:val="24"/>
        </w:rPr>
      </w:pPr>
      <w:r>
        <w:rPr>
          <w:rFonts w:ascii="Arial" w:hAnsi="Arial"/>
          <w:sz w:val="20"/>
          <w:szCs w:val="24"/>
        </w:rPr>
        <w:t xml:space="preserve">Volumen III: </w:t>
      </w:r>
    </w:p>
    <w:p w14:paraId="56502F12" w14:textId="77777777" w:rsidR="00763CF2" w:rsidRPr="00FC636D" w:rsidRDefault="00763CF2" w:rsidP="00B81091">
      <w:pPr>
        <w:pStyle w:val="ListParagraph"/>
        <w:numPr>
          <w:ilvl w:val="0"/>
          <w:numId w:val="4"/>
        </w:numPr>
        <w:tabs>
          <w:tab w:val="num" w:pos="1080"/>
        </w:tabs>
        <w:spacing w:before="120" w:after="0" w:line="240" w:lineRule="auto"/>
        <w:rPr>
          <w:rFonts w:ascii="Arial" w:hAnsi="Arial"/>
          <w:sz w:val="20"/>
          <w:szCs w:val="24"/>
        </w:rPr>
      </w:pPr>
      <w:r>
        <w:rPr>
          <w:rFonts w:ascii="Arial" w:hAnsi="Arial"/>
          <w:sz w:val="20"/>
          <w:szCs w:val="24"/>
        </w:rPr>
        <w:lastRenderedPageBreak/>
        <w:t>Índice</w:t>
      </w:r>
    </w:p>
    <w:p w14:paraId="5D2AA419" w14:textId="77777777" w:rsidR="00763CF2" w:rsidRPr="00FC636D" w:rsidRDefault="00763CF2" w:rsidP="00B81091">
      <w:pPr>
        <w:pStyle w:val="ListParagraph"/>
        <w:numPr>
          <w:ilvl w:val="0"/>
          <w:numId w:val="4"/>
        </w:numPr>
        <w:tabs>
          <w:tab w:val="num" w:pos="1080"/>
        </w:tabs>
        <w:spacing w:before="120" w:after="0" w:line="240" w:lineRule="auto"/>
        <w:rPr>
          <w:rFonts w:ascii="Arial" w:hAnsi="Arial"/>
          <w:sz w:val="20"/>
          <w:szCs w:val="24"/>
        </w:rPr>
      </w:pPr>
      <w:r>
        <w:rPr>
          <w:rFonts w:ascii="Arial" w:hAnsi="Arial"/>
          <w:sz w:val="20"/>
          <w:szCs w:val="24"/>
        </w:rPr>
        <w:t>Apéndice A: Perfil del área de planificación</w:t>
      </w:r>
    </w:p>
    <w:p w14:paraId="47E64CC4" w14:textId="77777777" w:rsidR="00763CF2" w:rsidRPr="00FC636D" w:rsidRDefault="00763CF2" w:rsidP="00B81091">
      <w:pPr>
        <w:pStyle w:val="ListParagraph"/>
        <w:numPr>
          <w:ilvl w:val="0"/>
          <w:numId w:val="4"/>
        </w:numPr>
        <w:tabs>
          <w:tab w:val="num" w:pos="1080"/>
        </w:tabs>
        <w:spacing w:before="120" w:after="0" w:line="240" w:lineRule="auto"/>
        <w:rPr>
          <w:rFonts w:ascii="Arial" w:hAnsi="Arial"/>
          <w:sz w:val="20"/>
          <w:szCs w:val="24"/>
        </w:rPr>
      </w:pPr>
      <w:r>
        <w:rPr>
          <w:rFonts w:ascii="Arial" w:hAnsi="Arial"/>
          <w:sz w:val="20"/>
          <w:szCs w:val="24"/>
        </w:rPr>
        <w:t>Apéndice B: Proceso de planificación y participación del público</w:t>
      </w:r>
    </w:p>
    <w:p w14:paraId="691BD471" w14:textId="58861FB3" w:rsidR="00763CF2" w:rsidRPr="00FC636D" w:rsidRDefault="00763CF2" w:rsidP="00B81091">
      <w:pPr>
        <w:pStyle w:val="ListParagraph"/>
        <w:numPr>
          <w:ilvl w:val="0"/>
          <w:numId w:val="4"/>
        </w:numPr>
        <w:tabs>
          <w:tab w:val="num" w:pos="1080"/>
        </w:tabs>
        <w:spacing w:before="120" w:after="0" w:line="240" w:lineRule="auto"/>
        <w:rPr>
          <w:rFonts w:ascii="Arial" w:hAnsi="Arial"/>
          <w:sz w:val="20"/>
          <w:szCs w:val="24"/>
        </w:rPr>
      </w:pPr>
      <w:r>
        <w:rPr>
          <w:rFonts w:ascii="Arial" w:hAnsi="Arial"/>
          <w:sz w:val="20"/>
          <w:szCs w:val="24"/>
        </w:rPr>
        <w:t>Apéndice C: Recursos para la implementación y oportunidades de financiación</w:t>
      </w:r>
    </w:p>
    <w:p w14:paraId="6BB1D9B3" w14:textId="77777777" w:rsidR="00763CF2" w:rsidRPr="00763CF2" w:rsidRDefault="00763CF2" w:rsidP="00B81091">
      <w:pPr>
        <w:spacing w:after="0" w:line="240" w:lineRule="auto"/>
        <w:rPr>
          <w:rFonts w:ascii="Arial" w:hAnsi="Arial"/>
          <w:sz w:val="20"/>
          <w:szCs w:val="24"/>
        </w:rPr>
      </w:pPr>
    </w:p>
    <w:p w14:paraId="20F9A263" w14:textId="0908A51A" w:rsidR="00763CF2" w:rsidRPr="00B81091" w:rsidRDefault="00763CF2" w:rsidP="00B81091">
      <w:pPr>
        <w:spacing w:after="0" w:line="240" w:lineRule="auto"/>
        <w:rPr>
          <w:rFonts w:ascii="Arial" w:hAnsi="Arial"/>
          <w:sz w:val="20"/>
          <w:szCs w:val="24"/>
        </w:rPr>
      </w:pPr>
      <w:r w:rsidRPr="00B81091">
        <w:rPr>
          <w:rFonts w:ascii="Arial" w:hAnsi="Arial"/>
          <w:sz w:val="20"/>
          <w:szCs w:val="24"/>
        </w:rPr>
        <w:t>El NHMP 2023 del condado de Washington será una herramienta útil que todos los participantes, comunidades y partes interesadas p</w:t>
      </w:r>
      <w:r w:rsidR="008E48AD" w:rsidRPr="00B81091">
        <w:rPr>
          <w:rFonts w:ascii="Arial" w:hAnsi="Arial"/>
          <w:sz w:val="20"/>
          <w:szCs w:val="24"/>
        </w:rPr>
        <w:t>odrán</w:t>
      </w:r>
      <w:r w:rsidRPr="00B81091">
        <w:rPr>
          <w:rFonts w:ascii="Arial" w:hAnsi="Arial"/>
          <w:sz w:val="20"/>
          <w:szCs w:val="24"/>
        </w:rPr>
        <w:t xml:space="preserve"> usar para aumentar la concientización del público sobre las amenazas y los riesgos locales y que a la vez proporciona</w:t>
      </w:r>
      <w:r w:rsidR="008E48AD" w:rsidRPr="00B81091">
        <w:rPr>
          <w:rFonts w:ascii="Arial" w:hAnsi="Arial"/>
          <w:sz w:val="20"/>
          <w:szCs w:val="24"/>
        </w:rPr>
        <w:t>rá</w:t>
      </w:r>
      <w:r w:rsidRPr="00B81091">
        <w:rPr>
          <w:rFonts w:ascii="Arial" w:hAnsi="Arial"/>
          <w:sz w:val="20"/>
          <w:szCs w:val="24"/>
        </w:rPr>
        <w:t xml:space="preserve"> información sobre las opciones y los recursos disponibles para disminuir esos riesgos. Informar al público sobre las amenazas posibles permitirá tomar decisiones informadas sobre dónde vivir, la compra de una propiedad o la ubicación de los negocios, y ayudará a cada jurisdicción y distrito especial a protegerse contra los efectos de las amenazas identificadas.</w:t>
      </w:r>
    </w:p>
    <w:p w14:paraId="2F1F751D" w14:textId="77777777" w:rsidR="00BE5701" w:rsidRDefault="003D2A96" w:rsidP="00B81091">
      <w:pPr>
        <w:spacing w:line="240" w:lineRule="auto"/>
      </w:pPr>
    </w:p>
    <w:sectPr w:rsidR="00BE57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C0858" w14:textId="77777777" w:rsidR="003D2A96" w:rsidRDefault="003D2A96" w:rsidP="00763CF2">
      <w:pPr>
        <w:spacing w:after="0" w:line="240" w:lineRule="auto"/>
      </w:pPr>
      <w:r>
        <w:separator/>
      </w:r>
    </w:p>
  </w:endnote>
  <w:endnote w:type="continuationSeparator" w:id="0">
    <w:p w14:paraId="0CA87DCC" w14:textId="77777777" w:rsidR="003D2A96" w:rsidRDefault="003D2A96" w:rsidP="00763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C3E5E" w14:textId="77777777" w:rsidR="003D2A96" w:rsidRDefault="003D2A96" w:rsidP="00763CF2">
      <w:pPr>
        <w:spacing w:after="0" w:line="240" w:lineRule="auto"/>
      </w:pPr>
      <w:r>
        <w:separator/>
      </w:r>
    </w:p>
  </w:footnote>
  <w:footnote w:type="continuationSeparator" w:id="0">
    <w:p w14:paraId="49999B03" w14:textId="77777777" w:rsidR="003D2A96" w:rsidRDefault="003D2A96" w:rsidP="00763CF2">
      <w:pPr>
        <w:spacing w:after="0" w:line="240" w:lineRule="auto"/>
      </w:pPr>
      <w:r>
        <w:continuationSeparator/>
      </w:r>
    </w:p>
  </w:footnote>
  <w:footnote w:id="1">
    <w:p w14:paraId="5856A432" w14:textId="1CE9ED09" w:rsidR="00763CF2" w:rsidRPr="00C0061D" w:rsidRDefault="00763CF2" w:rsidP="00763CF2">
      <w:pPr>
        <w:pStyle w:val="FootnoteText"/>
        <w:rPr>
          <w:rFonts w:ascii="Arial" w:hAnsi="Arial" w:cs="Arial"/>
        </w:rPr>
      </w:pPr>
      <w:r>
        <w:rPr>
          <w:rStyle w:val="FootnoteReference"/>
          <w:rFonts w:ascii="Arial" w:hAnsi="Arial" w:cs="Arial"/>
        </w:rPr>
        <w:footnoteRef/>
      </w:r>
      <w:r>
        <w:rPr>
          <w:rFonts w:ascii="Arial" w:hAnsi="Arial"/>
        </w:rPr>
        <w:t xml:space="preserve"> El </w:t>
      </w:r>
      <w:r>
        <w:rPr>
          <w:rFonts w:ascii="Arial" w:hAnsi="Arial"/>
          <w:iCs/>
        </w:rPr>
        <w:t xml:space="preserve">NHMP de la Ciudad de </w:t>
      </w:r>
      <w:proofErr w:type="spellStart"/>
      <w:r>
        <w:rPr>
          <w:rFonts w:ascii="Arial" w:hAnsi="Arial"/>
          <w:iCs/>
        </w:rPr>
        <w:t>Beaverton</w:t>
      </w:r>
      <w:proofErr w:type="spellEnd"/>
      <w:r>
        <w:rPr>
          <w:rFonts w:ascii="Arial" w:hAnsi="Arial"/>
          <w:iCs/>
        </w:rPr>
        <w:t xml:space="preserve"> se aprobó en 2020. Este plan se actualizó y se incorporó al plan 2023 del condado de Washington como el anexo de la ciudad.</w:t>
      </w:r>
    </w:p>
  </w:footnote>
  <w:footnote w:id="2">
    <w:p w14:paraId="0EE5E7E3" w14:textId="77777777" w:rsidR="00763CF2" w:rsidRPr="00C0061D" w:rsidRDefault="00763CF2" w:rsidP="00763CF2">
      <w:pPr>
        <w:pStyle w:val="FootnoteText"/>
        <w:rPr>
          <w:rFonts w:ascii="Arial" w:hAnsi="Arial" w:cs="Arial"/>
        </w:rPr>
      </w:pPr>
      <w:r>
        <w:rPr>
          <w:rStyle w:val="FootnoteReference"/>
          <w:rFonts w:ascii="Arial" w:hAnsi="Arial" w:cs="Arial"/>
        </w:rPr>
        <w:footnoteRef/>
      </w:r>
      <w:r>
        <w:rPr>
          <w:rFonts w:ascii="Arial" w:hAnsi="Arial"/>
        </w:rPr>
        <w:t xml:space="preserve"> No participó en el NHMP 2017 del condado de Washington.</w:t>
      </w:r>
    </w:p>
  </w:footnote>
  <w:footnote w:id="3">
    <w:p w14:paraId="24FD9B26" w14:textId="569E6F61" w:rsidR="00763CF2" w:rsidRPr="00EF3BAD" w:rsidRDefault="00763CF2" w:rsidP="00763CF2">
      <w:pPr>
        <w:pStyle w:val="FootnoteText"/>
        <w:rPr>
          <w:rFonts w:cs="Arial"/>
          <w:iCs/>
        </w:rPr>
      </w:pPr>
      <w:r>
        <w:rPr>
          <w:rStyle w:val="FootnoteReference"/>
          <w:rFonts w:ascii="Arial" w:hAnsi="Arial" w:cs="Arial"/>
        </w:rPr>
        <w:footnoteRef/>
      </w:r>
      <w:r>
        <w:rPr>
          <w:rFonts w:ascii="Arial" w:hAnsi="Arial"/>
        </w:rPr>
        <w:t xml:space="preserve"> </w:t>
      </w:r>
      <w:r>
        <w:rPr>
          <w:rFonts w:ascii="Arial" w:hAnsi="Arial"/>
          <w:iCs/>
        </w:rPr>
        <w:t>Las ciudades de Cornelius y Forest Grove tenían un NHMP conjunto que se aprobó en septiembre de 2011. El plan 2011 se actualizó y se incorporó a este plan como anexos separados para las ciudades.</w:t>
      </w:r>
    </w:p>
  </w:footnote>
  <w:footnote w:id="4">
    <w:p w14:paraId="3035D6AC" w14:textId="77777777" w:rsidR="00763CF2" w:rsidRPr="00C0061D" w:rsidRDefault="00763CF2" w:rsidP="00763CF2">
      <w:pPr>
        <w:pStyle w:val="FootnoteText"/>
        <w:rPr>
          <w:rFonts w:ascii="Arial" w:hAnsi="Arial" w:cs="Arial"/>
        </w:rPr>
      </w:pPr>
      <w:r>
        <w:rPr>
          <w:rStyle w:val="FootnoteReference"/>
          <w:rFonts w:ascii="Arial" w:hAnsi="Arial" w:cs="Arial"/>
        </w:rPr>
        <w:footnoteRef/>
      </w:r>
      <w:r>
        <w:rPr>
          <w:rFonts w:ascii="Arial" w:hAnsi="Arial"/>
        </w:rPr>
        <w:t xml:space="preserve"> Amenaza nueva para la actualización del NHMP 2023</w:t>
      </w:r>
    </w:p>
  </w:footnote>
  <w:footnote w:id="5">
    <w:p w14:paraId="1C796478" w14:textId="77777777" w:rsidR="00763CF2" w:rsidRPr="00C0061D" w:rsidRDefault="00763CF2" w:rsidP="00763CF2">
      <w:pPr>
        <w:pStyle w:val="FootnoteText"/>
        <w:rPr>
          <w:rFonts w:ascii="Arial" w:hAnsi="Arial" w:cs="Arial"/>
        </w:rPr>
      </w:pPr>
      <w:r>
        <w:rPr>
          <w:rStyle w:val="FootnoteReference"/>
          <w:rFonts w:ascii="Arial" w:hAnsi="Arial" w:cs="Arial"/>
        </w:rPr>
        <w:footnoteRef/>
      </w:r>
      <w:r>
        <w:rPr>
          <w:rFonts w:ascii="Arial" w:hAnsi="Arial"/>
        </w:rPr>
        <w:t xml:space="preserve"> Amenaza nueva para la actualización del NHMP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41F15"/>
    <w:multiLevelType w:val="hybridMultilevel"/>
    <w:tmpl w:val="26F4BC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8AD2370"/>
    <w:multiLevelType w:val="hybridMultilevel"/>
    <w:tmpl w:val="067055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2814E26"/>
    <w:multiLevelType w:val="hybridMultilevel"/>
    <w:tmpl w:val="AEAA2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CD114E"/>
    <w:multiLevelType w:val="hybridMultilevel"/>
    <w:tmpl w:val="DC5E9FC4"/>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47637572"/>
    <w:multiLevelType w:val="hybridMultilevel"/>
    <w:tmpl w:val="BD90E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1285E5D"/>
    <w:multiLevelType w:val="hybridMultilevel"/>
    <w:tmpl w:val="6358B93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7D3F4070"/>
    <w:multiLevelType w:val="hybridMultilevel"/>
    <w:tmpl w:val="73F61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CF2"/>
    <w:rsid w:val="00031620"/>
    <w:rsid w:val="00125206"/>
    <w:rsid w:val="00155125"/>
    <w:rsid w:val="00303B54"/>
    <w:rsid w:val="00345F6C"/>
    <w:rsid w:val="00350BBF"/>
    <w:rsid w:val="003D2A96"/>
    <w:rsid w:val="0045249A"/>
    <w:rsid w:val="004F7AB9"/>
    <w:rsid w:val="00545C9B"/>
    <w:rsid w:val="006E0A91"/>
    <w:rsid w:val="00763CF2"/>
    <w:rsid w:val="007C0D9A"/>
    <w:rsid w:val="007C3460"/>
    <w:rsid w:val="007F65FA"/>
    <w:rsid w:val="008215AF"/>
    <w:rsid w:val="008A426B"/>
    <w:rsid w:val="008E48AD"/>
    <w:rsid w:val="00905207"/>
    <w:rsid w:val="00926117"/>
    <w:rsid w:val="00940135"/>
    <w:rsid w:val="0096090E"/>
    <w:rsid w:val="0097182C"/>
    <w:rsid w:val="00986AA7"/>
    <w:rsid w:val="009A3AA3"/>
    <w:rsid w:val="00A5732A"/>
    <w:rsid w:val="00A63ACF"/>
    <w:rsid w:val="00AD256B"/>
    <w:rsid w:val="00B81091"/>
    <w:rsid w:val="00B86394"/>
    <w:rsid w:val="00B913B9"/>
    <w:rsid w:val="00BE628A"/>
    <w:rsid w:val="00C0061D"/>
    <w:rsid w:val="00C13D29"/>
    <w:rsid w:val="00C54245"/>
    <w:rsid w:val="00D74DF3"/>
    <w:rsid w:val="00D86A09"/>
    <w:rsid w:val="00DD2C2C"/>
    <w:rsid w:val="00E43E9B"/>
    <w:rsid w:val="00E7272E"/>
    <w:rsid w:val="00E86BAB"/>
    <w:rsid w:val="00EF29EE"/>
    <w:rsid w:val="00F12F85"/>
    <w:rsid w:val="00F51A76"/>
    <w:rsid w:val="00F939C3"/>
    <w:rsid w:val="00FC636D"/>
    <w:rsid w:val="00FC7568"/>
    <w:rsid w:val="00FD0FE7"/>
    <w:rsid w:val="15CF04FA"/>
    <w:rsid w:val="2E6E90CF"/>
    <w:rsid w:val="2F7F6FF2"/>
    <w:rsid w:val="3D0C5CB5"/>
    <w:rsid w:val="43FD04BB"/>
    <w:rsid w:val="4D214F31"/>
    <w:rsid w:val="545A42BC"/>
    <w:rsid w:val="6B81CA45"/>
    <w:rsid w:val="7ADCDFA4"/>
    <w:rsid w:val="7CE7A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B5964"/>
  <w15:chartTrackingRefBased/>
  <w15:docId w15:val="{B03AA98B-FD33-47D4-AF27-94A65B602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autoRedefine/>
    <w:qFormat/>
    <w:rsid w:val="00031620"/>
    <w:rPr>
      <w:rFonts w:ascii="Arial" w:hAnsi="Arial"/>
      <w:sz w:val="18"/>
    </w:rPr>
  </w:style>
  <w:style w:type="paragraph" w:styleId="FootnoteText">
    <w:name w:val="footnote text"/>
    <w:basedOn w:val="Normal"/>
    <w:link w:val="FootnoteTextChar"/>
    <w:uiPriority w:val="99"/>
    <w:semiHidden/>
    <w:unhideWhenUsed/>
    <w:rsid w:val="000316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1620"/>
    <w:rPr>
      <w:sz w:val="20"/>
      <w:szCs w:val="20"/>
    </w:rPr>
  </w:style>
  <w:style w:type="character" w:styleId="FootnoteReference">
    <w:name w:val="footnote reference"/>
    <w:basedOn w:val="DefaultParagraphFont"/>
    <w:rsid w:val="00763CF2"/>
    <w:rPr>
      <w:vertAlign w:val="superscript"/>
    </w:rPr>
  </w:style>
  <w:style w:type="character" w:styleId="CommentReference">
    <w:name w:val="annotation reference"/>
    <w:basedOn w:val="DefaultParagraphFont"/>
    <w:uiPriority w:val="99"/>
    <w:unhideWhenUsed/>
    <w:rsid w:val="00763CF2"/>
    <w:rPr>
      <w:sz w:val="16"/>
      <w:szCs w:val="16"/>
    </w:rPr>
  </w:style>
  <w:style w:type="paragraph" w:styleId="CommentText">
    <w:name w:val="annotation text"/>
    <w:basedOn w:val="Normal"/>
    <w:link w:val="CommentTextChar"/>
    <w:uiPriority w:val="99"/>
    <w:unhideWhenUsed/>
    <w:rsid w:val="00763CF2"/>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763CF2"/>
    <w:rPr>
      <w:rFonts w:ascii="Arial" w:hAnsi="Arial"/>
      <w:sz w:val="20"/>
      <w:szCs w:val="20"/>
    </w:rPr>
  </w:style>
  <w:style w:type="table" w:customStyle="1" w:styleId="IEMTable">
    <w:name w:val="IEM Table"/>
    <w:basedOn w:val="TableNormal"/>
    <w:uiPriority w:val="99"/>
    <w:rsid w:val="00763CF2"/>
    <w:pPr>
      <w:spacing w:before="40" w:after="40" w:line="240" w:lineRule="auto"/>
    </w:pPr>
    <w:rPr>
      <w:rFonts w:ascii="Century Gothic" w:hAnsi="Century Gothic"/>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paragraph" w:styleId="ListParagraph">
    <w:name w:val="List Paragraph"/>
    <w:basedOn w:val="Normal"/>
    <w:uiPriority w:val="34"/>
    <w:qFormat/>
    <w:rsid w:val="00FC636D"/>
    <w:pPr>
      <w:ind w:left="720"/>
      <w:contextualSpacing/>
    </w:pPr>
  </w:style>
  <w:style w:type="paragraph" w:styleId="CommentSubject">
    <w:name w:val="annotation subject"/>
    <w:basedOn w:val="CommentText"/>
    <w:next w:val="CommentText"/>
    <w:link w:val="CommentSubjectChar"/>
    <w:uiPriority w:val="99"/>
    <w:semiHidden/>
    <w:unhideWhenUsed/>
    <w:rsid w:val="00FD0FE7"/>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FD0FE7"/>
    <w:rPr>
      <w:rFonts w:ascii="Arial" w:hAnsi="Arial"/>
      <w:b/>
      <w:bCs/>
      <w:sz w:val="20"/>
      <w:szCs w:val="20"/>
    </w:rPr>
  </w:style>
  <w:style w:type="paragraph" w:styleId="Revision">
    <w:name w:val="Revision"/>
    <w:hidden/>
    <w:uiPriority w:val="99"/>
    <w:semiHidden/>
    <w:rsid w:val="00D74D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37FDF6E8D1564697F2B14951B81F22" ma:contentTypeVersion="15" ma:contentTypeDescription="Create a new document." ma:contentTypeScope="" ma:versionID="633608702960611b098bc5337ef970ca">
  <xsd:schema xmlns:xsd="http://www.w3.org/2001/XMLSchema" xmlns:xs="http://www.w3.org/2001/XMLSchema" xmlns:p="http://schemas.microsoft.com/office/2006/metadata/properties" xmlns:ns2="481c9329-6328-4a01-847b-2e9660154735" xmlns:ns3="d5f1f0e0-b601-4749-a7f4-5b51c571fdc3" targetNamespace="http://schemas.microsoft.com/office/2006/metadata/properties" ma:root="true" ma:fieldsID="c612c74bd323d498e4def155e70d1937" ns2:_="" ns3:_="">
    <xsd:import namespace="481c9329-6328-4a01-847b-2e9660154735"/>
    <xsd:import namespace="d5f1f0e0-b601-4749-a7f4-5b51c571fdc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c9329-6328-4a01-847b-2e9660154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091450-dd9d-4e8d-a95a-f4f436347e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f1f0e0-b601-4749-a7f4-5b51c571fdc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6c86a-f72d-41c3-b480-6937980cc91e}" ma:internalName="TaxCatchAll" ma:showField="CatchAllData" ma:web="d5f1f0e0-b601-4749-a7f4-5b51c571f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5f1f0e0-b601-4749-a7f4-5b51c571fdc3" xsi:nil="true"/>
    <lcf76f155ced4ddcb4097134ff3c332f xmlns="481c9329-6328-4a01-847b-2e96601547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A08413-12C3-414B-A9B1-D6DA22F8F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c9329-6328-4a01-847b-2e9660154735"/>
    <ds:schemaRef ds:uri="d5f1f0e0-b601-4749-a7f4-5b51c571f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D7ADE-F43E-42B7-BEF5-2C1430D4FB42}">
  <ds:schemaRefs>
    <ds:schemaRef ds:uri="http://schemas.microsoft.com/sharepoint/v3/contenttype/forms"/>
  </ds:schemaRefs>
</ds:datastoreItem>
</file>

<file path=customXml/itemProps3.xml><?xml version="1.0" encoding="utf-8"?>
<ds:datastoreItem xmlns:ds="http://schemas.openxmlformats.org/officeDocument/2006/customXml" ds:itemID="{B9E3BD9F-63BF-47A5-932B-5E43E71E7417}">
  <ds:schemaRefs>
    <ds:schemaRef ds:uri="http://schemas.microsoft.com/office/2006/metadata/properties"/>
    <ds:schemaRef ds:uri="http://schemas.microsoft.com/office/infopath/2007/PartnerControls"/>
    <ds:schemaRef ds:uri="d5f1f0e0-b601-4749-a7f4-5b51c571fdc3"/>
    <ds:schemaRef ds:uri="481c9329-6328-4a01-847b-2e9660154735"/>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985</Words>
  <Characters>5618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Jessica</dc:creator>
  <cp:keywords/>
  <dc:description/>
  <cp:lastModifiedBy>Chris Lueneburg</cp:lastModifiedBy>
  <cp:revision>6</cp:revision>
  <dcterms:created xsi:type="dcterms:W3CDTF">2023-01-23T14:45:00Z</dcterms:created>
  <dcterms:modified xsi:type="dcterms:W3CDTF">2023-01-23T23:35:00Z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0x0101004037FDF6E8D1564697F2B14951B81F22</vt:lpwstr>
  </property>
  <property fmtid="{D5CDD505-2E9C-101B-9397-08002B2CF9AE}" pid="3" name="MediaServiceImageTags">
    <vt:lpwstr/>
  </property>
</Properties>
</file>